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79" w:rsidRPr="00E94BEF" w:rsidRDefault="00E20A79" w:rsidP="00E20A79">
      <w:pPr>
        <w:spacing w:after="120"/>
        <w:jc w:val="right"/>
        <w:rPr>
          <w:rFonts w:ascii="Arial" w:hAnsi="Arial"/>
          <w:sz w:val="36"/>
          <w:szCs w:val="28"/>
        </w:rPr>
      </w:pPr>
      <w:r>
        <w:rPr>
          <w:rFonts w:ascii="Arial" w:hAnsi="Arial"/>
          <w:sz w:val="36"/>
          <w:szCs w:val="28"/>
          <w:bdr w:val="single" w:sz="4" w:space="0" w:color="auto"/>
        </w:rPr>
        <w:t>Original Article</w:t>
      </w:r>
    </w:p>
    <w:p w:rsidR="00E20A79" w:rsidRPr="00F8008A" w:rsidRDefault="00E20A79" w:rsidP="00E20A79">
      <w:pPr>
        <w:spacing w:after="120"/>
        <w:jc w:val="both"/>
        <w:rPr>
          <w:rFonts w:ascii="Arial" w:hAnsi="Arial" w:cs="Arial"/>
          <w:sz w:val="40"/>
          <w:szCs w:val="40"/>
        </w:rPr>
      </w:pPr>
      <w:r w:rsidRPr="00AE1D2E">
        <w:rPr>
          <w:rFonts w:ascii="Arial" w:hAnsi="Arial" w:cs="Arial"/>
          <w:b/>
          <w:sz w:val="40"/>
          <w:szCs w:val="40"/>
        </w:rPr>
        <w:t>Frequency of allergic contact dermatitis in hand eczema patients with European standard and corticosteroid series</w:t>
      </w:r>
      <w:r w:rsidRPr="00CC1830">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E20A79" w:rsidRPr="00E94BEF" w:rsidTr="007F56D2">
        <w:trPr>
          <w:trHeight w:val="873"/>
        </w:trPr>
        <w:tc>
          <w:tcPr>
            <w:tcW w:w="1191" w:type="dxa"/>
          </w:tcPr>
          <w:p w:rsidR="00E20A79" w:rsidRPr="00E94BEF" w:rsidRDefault="00E20A79" w:rsidP="007F56D2">
            <w:pPr>
              <w:rPr>
                <w:rFonts w:ascii="CG Omega" w:hAnsi="CG Omega" w:cs="CG Omega"/>
                <w:sz w:val="32"/>
                <w:szCs w:val="32"/>
              </w:rPr>
            </w:pPr>
          </w:p>
        </w:tc>
        <w:tc>
          <w:tcPr>
            <w:tcW w:w="8259" w:type="dxa"/>
          </w:tcPr>
          <w:p w:rsidR="00E20A79" w:rsidRDefault="00E20A79" w:rsidP="00E20A79">
            <w:pPr>
              <w:jc w:val="both"/>
              <w:rPr>
                <w:b/>
                <w:sz w:val="20"/>
                <w:szCs w:val="20"/>
              </w:rPr>
            </w:pPr>
            <w:r w:rsidRPr="00AE1D2E">
              <w:rPr>
                <w:b/>
                <w:sz w:val="20"/>
                <w:szCs w:val="20"/>
              </w:rPr>
              <w:t>Uzma Sarwar*, Faria Asad**, Zahida Rani**, Khawar Kurshid**, Sabrina Suhail Pal**</w:t>
            </w:r>
          </w:p>
          <w:p w:rsidR="00E20A79" w:rsidRPr="00AE1D2E" w:rsidRDefault="00E20A79" w:rsidP="00E20A79">
            <w:pPr>
              <w:jc w:val="both"/>
              <w:rPr>
                <w:b/>
                <w:sz w:val="20"/>
                <w:szCs w:val="20"/>
              </w:rPr>
            </w:pPr>
          </w:p>
          <w:p w:rsidR="00E20A79" w:rsidRPr="009B3226" w:rsidRDefault="00E20A79" w:rsidP="00E20A79">
            <w:pPr>
              <w:jc w:val="both"/>
              <w:rPr>
                <w:sz w:val="20"/>
                <w:szCs w:val="20"/>
              </w:rPr>
            </w:pPr>
            <w:r w:rsidRPr="009B3226">
              <w:rPr>
                <w:sz w:val="20"/>
                <w:szCs w:val="20"/>
              </w:rPr>
              <w:t xml:space="preserve">*Department of </w:t>
            </w:r>
            <w:r w:rsidR="005237C3">
              <w:rPr>
                <w:sz w:val="20"/>
                <w:szCs w:val="20"/>
              </w:rPr>
              <w:t>D</w:t>
            </w:r>
            <w:r w:rsidRPr="009B3226">
              <w:rPr>
                <w:sz w:val="20"/>
                <w:szCs w:val="20"/>
              </w:rPr>
              <w:t xml:space="preserve">ermatology, Shalamar </w:t>
            </w:r>
            <w:r w:rsidR="005237C3">
              <w:rPr>
                <w:sz w:val="20"/>
                <w:szCs w:val="20"/>
              </w:rPr>
              <w:t>M</w:t>
            </w:r>
            <w:r w:rsidRPr="009B3226">
              <w:rPr>
                <w:sz w:val="20"/>
                <w:szCs w:val="20"/>
              </w:rPr>
              <w:t xml:space="preserve">edical and </w:t>
            </w:r>
            <w:r w:rsidR="005237C3">
              <w:rPr>
                <w:sz w:val="20"/>
                <w:szCs w:val="20"/>
              </w:rPr>
              <w:t>D</w:t>
            </w:r>
            <w:r w:rsidRPr="009B3226">
              <w:rPr>
                <w:sz w:val="20"/>
                <w:szCs w:val="20"/>
              </w:rPr>
              <w:t xml:space="preserve">ental </w:t>
            </w:r>
            <w:r w:rsidR="005237C3">
              <w:rPr>
                <w:sz w:val="20"/>
                <w:szCs w:val="20"/>
              </w:rPr>
              <w:t>C</w:t>
            </w:r>
            <w:r w:rsidRPr="009B3226">
              <w:rPr>
                <w:sz w:val="20"/>
                <w:szCs w:val="20"/>
              </w:rPr>
              <w:t xml:space="preserve">ollege &amp; Shamalar Hospital, Lahore **Department of </w:t>
            </w:r>
            <w:r w:rsidR="005237C3">
              <w:rPr>
                <w:sz w:val="20"/>
                <w:szCs w:val="20"/>
              </w:rPr>
              <w:t>D</w:t>
            </w:r>
            <w:r w:rsidRPr="009B3226">
              <w:rPr>
                <w:sz w:val="20"/>
                <w:szCs w:val="20"/>
              </w:rPr>
              <w:t>ermatology, Unit II, King Edward Medical University/Mayo Hospital, Lahore</w:t>
            </w:r>
          </w:p>
          <w:p w:rsidR="00E20A79" w:rsidRPr="006F6571" w:rsidRDefault="00E20A79" w:rsidP="00E20A79">
            <w:pPr>
              <w:rPr>
                <w:sz w:val="20"/>
                <w:szCs w:val="20"/>
              </w:rPr>
            </w:pPr>
          </w:p>
        </w:tc>
      </w:tr>
      <w:tr w:rsidR="00E20A79" w:rsidRPr="00E94BEF" w:rsidTr="007F56D2">
        <w:trPr>
          <w:trHeight w:val="1575"/>
        </w:trPr>
        <w:tc>
          <w:tcPr>
            <w:tcW w:w="1191" w:type="dxa"/>
          </w:tcPr>
          <w:p w:rsidR="00E20A79" w:rsidRPr="00E94BEF" w:rsidRDefault="00E20A79" w:rsidP="007F56D2">
            <w:pPr>
              <w:jc w:val="both"/>
              <w:rPr>
                <w:rFonts w:ascii="CG Omega" w:hAnsi="CG Omega" w:cs="CG Omega"/>
                <w:b/>
                <w:bCs/>
              </w:rPr>
            </w:pPr>
            <w:r w:rsidRPr="00E94BEF">
              <w:rPr>
                <w:rFonts w:ascii="CG Omega" w:hAnsi="CG Omega" w:cs="CG Omega"/>
                <w:b/>
                <w:bCs/>
              </w:rPr>
              <w:t>Abstract</w:t>
            </w:r>
          </w:p>
        </w:tc>
        <w:tc>
          <w:tcPr>
            <w:tcW w:w="8259" w:type="dxa"/>
          </w:tcPr>
          <w:p w:rsidR="00E20A79" w:rsidRPr="009B3226" w:rsidRDefault="00E20A79" w:rsidP="00E20A79">
            <w:pPr>
              <w:jc w:val="both"/>
              <w:rPr>
                <w:sz w:val="20"/>
                <w:szCs w:val="20"/>
              </w:rPr>
            </w:pPr>
            <w:r w:rsidRPr="009B3226">
              <w:rPr>
                <w:b/>
                <w:bCs/>
                <w:i/>
                <w:sz w:val="20"/>
                <w:szCs w:val="20"/>
              </w:rPr>
              <w:t xml:space="preserve">Objective </w:t>
            </w:r>
            <w:r w:rsidRPr="009B3226">
              <w:rPr>
                <w:sz w:val="20"/>
                <w:szCs w:val="20"/>
              </w:rPr>
              <w:t xml:space="preserve">To determine the frequency of allergic contact dermatitis in patients with hand eczema </w:t>
            </w:r>
            <w:r w:rsidR="005237C3">
              <w:rPr>
                <w:sz w:val="20"/>
                <w:szCs w:val="20"/>
              </w:rPr>
              <w:t xml:space="preserve">by patch testing </w:t>
            </w:r>
            <w:r w:rsidRPr="009B3226">
              <w:rPr>
                <w:sz w:val="20"/>
                <w:szCs w:val="20"/>
              </w:rPr>
              <w:t>with European standard and corticosteroid series.</w:t>
            </w:r>
          </w:p>
          <w:p w:rsidR="00E20A79" w:rsidRDefault="00E20A79" w:rsidP="00E20A79">
            <w:pPr>
              <w:jc w:val="both"/>
              <w:rPr>
                <w:b/>
                <w:bCs/>
                <w:sz w:val="20"/>
                <w:szCs w:val="20"/>
              </w:rPr>
            </w:pPr>
          </w:p>
          <w:p w:rsidR="00E20A79" w:rsidRPr="009B3226" w:rsidRDefault="00E20A79" w:rsidP="00E20A79">
            <w:pPr>
              <w:jc w:val="both"/>
              <w:rPr>
                <w:b/>
                <w:bCs/>
                <w:sz w:val="20"/>
                <w:szCs w:val="20"/>
              </w:rPr>
            </w:pPr>
            <w:r w:rsidRPr="009B3226">
              <w:rPr>
                <w:b/>
                <w:bCs/>
                <w:i/>
                <w:sz w:val="20"/>
                <w:szCs w:val="20"/>
              </w:rPr>
              <w:t>Patients and methods</w:t>
            </w:r>
            <w:r>
              <w:rPr>
                <w:b/>
                <w:bCs/>
                <w:i/>
                <w:sz w:val="20"/>
                <w:szCs w:val="20"/>
              </w:rPr>
              <w:t xml:space="preserve"> </w:t>
            </w:r>
            <w:r w:rsidRPr="009B3226">
              <w:rPr>
                <w:sz w:val="20"/>
                <w:szCs w:val="20"/>
              </w:rPr>
              <w:t>One hundred and five patients of either sex having hand eczema, aged 12 years or above were enrolled in the study from dermatology outdoor department. After taking informed consent, patch test was performed a fortnight after complete resolution of signs and symptoms of eczema and after complete withdrawal of the drugs. Patch testing was done with European standard and corticosteroid series. Readings were taken 48, 72 and 120 hours aft</w:t>
            </w:r>
            <w:r w:rsidR="005237C3">
              <w:rPr>
                <w:sz w:val="20"/>
                <w:szCs w:val="20"/>
              </w:rPr>
              <w:t xml:space="preserve">er patches </w:t>
            </w:r>
            <w:r w:rsidRPr="009B3226">
              <w:rPr>
                <w:sz w:val="20"/>
                <w:szCs w:val="20"/>
              </w:rPr>
              <w:t>removal. Patch test reactions were graded according to international contact dermatitis research group criteria. Data was analyzed according to age, sex and percentages of positive patch test results.</w:t>
            </w:r>
          </w:p>
          <w:p w:rsidR="00E20A79" w:rsidRDefault="00E20A79" w:rsidP="00E20A79">
            <w:pPr>
              <w:tabs>
                <w:tab w:val="left" w:pos="3075"/>
              </w:tabs>
              <w:jc w:val="both"/>
              <w:rPr>
                <w:b/>
                <w:bCs/>
                <w:i/>
                <w:sz w:val="20"/>
                <w:szCs w:val="20"/>
              </w:rPr>
            </w:pPr>
          </w:p>
          <w:p w:rsidR="00E20A79" w:rsidRPr="009B3226" w:rsidRDefault="00E20A79" w:rsidP="00E20A79">
            <w:pPr>
              <w:tabs>
                <w:tab w:val="left" w:pos="3075"/>
              </w:tabs>
              <w:jc w:val="both"/>
              <w:rPr>
                <w:sz w:val="20"/>
                <w:szCs w:val="20"/>
              </w:rPr>
            </w:pPr>
            <w:r w:rsidRPr="009B3226">
              <w:rPr>
                <w:b/>
                <w:bCs/>
                <w:i/>
                <w:sz w:val="20"/>
                <w:szCs w:val="20"/>
              </w:rPr>
              <w:t>Results</w:t>
            </w:r>
            <w:r>
              <w:rPr>
                <w:b/>
                <w:bCs/>
                <w:i/>
                <w:sz w:val="20"/>
                <w:szCs w:val="20"/>
              </w:rPr>
              <w:t xml:space="preserve"> </w:t>
            </w:r>
            <w:r w:rsidRPr="009B3226">
              <w:rPr>
                <w:sz w:val="20"/>
                <w:szCs w:val="20"/>
              </w:rPr>
              <w:t>Allergic reaction was recorded in 48.6% of patients with European standard series and 11.4% of patients with corticosteroid series. Common allergens detected with European standard series were potassium dichromate (21%), cobalt chloride (12%) and nickel sulphate (12%). Common allergens detected with corticosteroid series were tixocortol-21-pivalate (8.6%) and hydrocortisone-17-butyrate (4.76%).</w:t>
            </w:r>
          </w:p>
          <w:p w:rsidR="00E20A79" w:rsidRDefault="00E20A79" w:rsidP="00E20A79">
            <w:pPr>
              <w:tabs>
                <w:tab w:val="left" w:pos="3075"/>
              </w:tabs>
              <w:jc w:val="both"/>
              <w:rPr>
                <w:b/>
                <w:bCs/>
                <w:sz w:val="20"/>
                <w:szCs w:val="20"/>
              </w:rPr>
            </w:pPr>
          </w:p>
          <w:p w:rsidR="00E20A79" w:rsidRPr="009B3226" w:rsidRDefault="00E20A79" w:rsidP="00E20A79">
            <w:pPr>
              <w:tabs>
                <w:tab w:val="left" w:pos="3075"/>
              </w:tabs>
              <w:jc w:val="both"/>
              <w:rPr>
                <w:sz w:val="20"/>
                <w:szCs w:val="20"/>
              </w:rPr>
            </w:pPr>
            <w:r w:rsidRPr="009B3226">
              <w:rPr>
                <w:b/>
                <w:bCs/>
                <w:i/>
                <w:sz w:val="20"/>
                <w:szCs w:val="20"/>
              </w:rPr>
              <w:t>Conclusion</w:t>
            </w:r>
            <w:r>
              <w:rPr>
                <w:b/>
                <w:bCs/>
                <w:i/>
                <w:sz w:val="20"/>
                <w:szCs w:val="20"/>
              </w:rPr>
              <w:t xml:space="preserve"> </w:t>
            </w:r>
            <w:r w:rsidRPr="009B3226">
              <w:rPr>
                <w:bCs/>
                <w:sz w:val="20"/>
                <w:szCs w:val="20"/>
              </w:rPr>
              <w:t>Almost half (48.6%) of the patients showed allergic reaction with European standard series</w:t>
            </w:r>
            <w:r w:rsidRPr="009B3226">
              <w:rPr>
                <w:sz w:val="20"/>
                <w:szCs w:val="20"/>
              </w:rPr>
              <w:t xml:space="preserve"> and 11.4% of the cases gave positive results with corticosteroid series.</w:t>
            </w:r>
            <w:r w:rsidRPr="009B3226">
              <w:rPr>
                <w:bCs/>
                <w:sz w:val="20"/>
                <w:szCs w:val="20"/>
              </w:rPr>
              <w:t xml:space="preserve"> </w:t>
            </w:r>
            <w:r w:rsidRPr="009B3226">
              <w:rPr>
                <w:sz w:val="20"/>
                <w:szCs w:val="20"/>
              </w:rPr>
              <w:t>Patch test needs to be performed with corticosteroid and European standard series in patients with hand eczema not responding to therapy.</w:t>
            </w:r>
          </w:p>
          <w:p w:rsidR="00E20A79" w:rsidRDefault="00E20A79" w:rsidP="00E20A79">
            <w:pPr>
              <w:tabs>
                <w:tab w:val="left" w:pos="3075"/>
              </w:tabs>
              <w:jc w:val="both"/>
              <w:rPr>
                <w:b/>
                <w:bCs/>
                <w:sz w:val="20"/>
                <w:szCs w:val="20"/>
              </w:rPr>
            </w:pPr>
          </w:p>
          <w:p w:rsidR="00E20A79" w:rsidRPr="009B3226" w:rsidRDefault="00E20A79" w:rsidP="00E20A79">
            <w:pPr>
              <w:tabs>
                <w:tab w:val="left" w:pos="3075"/>
              </w:tabs>
              <w:jc w:val="both"/>
              <w:rPr>
                <w:b/>
                <w:bCs/>
                <w:i/>
                <w:sz w:val="20"/>
                <w:szCs w:val="20"/>
              </w:rPr>
            </w:pPr>
            <w:r w:rsidRPr="009B3226">
              <w:rPr>
                <w:b/>
                <w:bCs/>
                <w:i/>
                <w:sz w:val="20"/>
                <w:szCs w:val="20"/>
              </w:rPr>
              <w:t>Key words</w:t>
            </w:r>
          </w:p>
          <w:p w:rsidR="00E20A79" w:rsidRPr="00E20A79" w:rsidRDefault="00E20A79" w:rsidP="00E20A79">
            <w:pPr>
              <w:tabs>
                <w:tab w:val="left" w:pos="3075"/>
              </w:tabs>
              <w:jc w:val="both"/>
              <w:rPr>
                <w:sz w:val="20"/>
                <w:szCs w:val="20"/>
              </w:rPr>
            </w:pPr>
            <w:r w:rsidRPr="009B3226">
              <w:rPr>
                <w:sz w:val="20"/>
                <w:szCs w:val="20"/>
              </w:rPr>
              <w:t>Allergic contact dermatitis, hand eczema, European standard series, corticosteroid series.</w:t>
            </w:r>
          </w:p>
        </w:tc>
      </w:tr>
    </w:tbl>
    <w:p w:rsidR="000D0C55" w:rsidRPr="009B3226" w:rsidRDefault="000D0C55" w:rsidP="009B3226">
      <w:pPr>
        <w:tabs>
          <w:tab w:val="left" w:pos="3075"/>
        </w:tabs>
        <w:jc w:val="both"/>
        <w:rPr>
          <w:b/>
          <w:bCs/>
          <w:sz w:val="20"/>
          <w:szCs w:val="20"/>
        </w:rPr>
      </w:pPr>
    </w:p>
    <w:p w:rsidR="009B3226" w:rsidRDefault="009B3226" w:rsidP="004847F0">
      <w:pPr>
        <w:spacing w:line="480" w:lineRule="auto"/>
        <w:jc w:val="both"/>
        <w:rPr>
          <w:b/>
          <w:sz w:val="28"/>
          <w:szCs w:val="28"/>
        </w:rPr>
        <w:sectPr w:rsidR="009B3226" w:rsidSect="004F202B">
          <w:headerReference w:type="default" r:id="rId9"/>
          <w:footerReference w:type="default" r:id="rId10"/>
          <w:pgSz w:w="12240" w:h="15840"/>
          <w:pgMar w:top="1440" w:right="1440" w:bottom="1440" w:left="1440" w:header="720" w:footer="720" w:gutter="0"/>
          <w:pgNumType w:start="289"/>
          <w:cols w:space="720"/>
          <w:docGrid w:linePitch="360"/>
        </w:sectPr>
      </w:pPr>
    </w:p>
    <w:p w:rsidR="004847F0" w:rsidRPr="000D0C55" w:rsidRDefault="009B3226" w:rsidP="000D0C55">
      <w:pPr>
        <w:spacing w:after="100" w:afterAutospacing="1" w:line="288" w:lineRule="auto"/>
        <w:jc w:val="both"/>
        <w:rPr>
          <w:b/>
          <w:sz w:val="22"/>
          <w:szCs w:val="22"/>
        </w:rPr>
      </w:pPr>
      <w:r w:rsidRPr="000D0C55">
        <w:rPr>
          <w:b/>
          <w:sz w:val="22"/>
          <w:szCs w:val="22"/>
        </w:rPr>
        <w:lastRenderedPageBreak/>
        <w:t>Introduction</w:t>
      </w:r>
    </w:p>
    <w:p w:rsidR="004847F0" w:rsidRPr="000D0C55" w:rsidRDefault="00196935" w:rsidP="000D0C55">
      <w:pPr>
        <w:spacing w:before="100" w:beforeAutospacing="1" w:after="100" w:afterAutospacing="1" w:line="288" w:lineRule="auto"/>
        <w:jc w:val="both"/>
        <w:rPr>
          <w:sz w:val="22"/>
          <w:szCs w:val="22"/>
        </w:rPr>
      </w:pPr>
      <w:r>
        <w:rPr>
          <w:noProof/>
          <w:sz w:val="22"/>
          <w:szCs w:val="22"/>
        </w:rPr>
        <w:pict>
          <v:shapetype id="_x0000_t202" coordsize="21600,21600" o:spt="202" path="m,l,21600r21600,l21600,xe">
            <v:stroke joinstyle="miter"/>
            <v:path gradientshapeok="t" o:connecttype="rect"/>
          </v:shapetype>
          <v:shape id="Text Box 21" o:spid="_x0000_s1026" type="#_x0000_t202" style="position:absolute;left:0;text-align:left;margin-left:2.55pt;margin-top:56.5pt;width:211.95pt;height:103.9pt;z-index:-251658752;visibility:visible;mso-wrap-style:square;mso-width-percent:0;mso-wrap-distance-left:9pt;mso-wrap-distance-top:0;mso-wrap-distance-right:9pt;mso-wrap-distance-bottom:0;mso-position-horizontal-relative:text;mso-position-vertical-relative:text;mso-width-percent:0;mso-width-relative:page;mso-height-relative:page;v-text-anchor:top" wrapcoords="-76 0 -76 21398 21600 21398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T6hgIAABI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" stroked="f">
            <v:textbox>
              <w:txbxContent>
                <w:p w:rsidR="00E20A79" w:rsidRPr="00923602" w:rsidRDefault="00E20A79" w:rsidP="00E20A79">
                  <w:pPr>
                    <w:pBdr>
                      <w:top w:val="single" w:sz="4" w:space="1" w:color="auto"/>
                    </w:pBdr>
                    <w:tabs>
                      <w:tab w:val="left" w:pos="3510"/>
                    </w:tabs>
                    <w:rPr>
                      <w:b/>
                      <w:sz w:val="20"/>
                      <w:szCs w:val="20"/>
                    </w:rPr>
                  </w:pPr>
                  <w:r w:rsidRPr="00923602">
                    <w:rPr>
                      <w:b/>
                      <w:sz w:val="20"/>
                      <w:szCs w:val="20"/>
                    </w:rPr>
                    <w:t>Address for correspondence</w:t>
                  </w:r>
                </w:p>
                <w:p w:rsidR="00E20A79" w:rsidRPr="00E20A79" w:rsidRDefault="00E20A79" w:rsidP="00E20A79">
                  <w:pPr>
                    <w:jc w:val="both"/>
                    <w:rPr>
                      <w:sz w:val="20"/>
                      <w:szCs w:val="20"/>
                    </w:rPr>
                  </w:pPr>
                  <w:r w:rsidRPr="00E20A79">
                    <w:rPr>
                      <w:sz w:val="20"/>
                      <w:szCs w:val="20"/>
                    </w:rPr>
                    <w:t>Dr. Uzma Sarwar</w:t>
                  </w:r>
                  <w:r>
                    <w:rPr>
                      <w:sz w:val="20"/>
                      <w:szCs w:val="20"/>
                    </w:rPr>
                    <w:t>,</w:t>
                  </w:r>
                </w:p>
                <w:p w:rsidR="00E20A79" w:rsidRPr="009B3226" w:rsidRDefault="00E20A79" w:rsidP="00E20A79">
                  <w:pPr>
                    <w:jc w:val="both"/>
                    <w:rPr>
                      <w:sz w:val="20"/>
                      <w:szCs w:val="20"/>
                    </w:rPr>
                  </w:pPr>
                  <w:r w:rsidRPr="009B3226">
                    <w:rPr>
                      <w:sz w:val="20"/>
                      <w:szCs w:val="20"/>
                    </w:rPr>
                    <w:t xml:space="preserve">Department of Dermatology, </w:t>
                  </w:r>
                </w:p>
                <w:p w:rsidR="00E20A79" w:rsidRPr="009B3226" w:rsidRDefault="00E20A79" w:rsidP="00E20A79">
                  <w:pPr>
                    <w:jc w:val="both"/>
                    <w:rPr>
                      <w:sz w:val="20"/>
                      <w:szCs w:val="20"/>
                    </w:rPr>
                  </w:pPr>
                  <w:r w:rsidRPr="009B3226">
                    <w:rPr>
                      <w:sz w:val="20"/>
                      <w:szCs w:val="20"/>
                    </w:rPr>
                    <w:t xml:space="preserve">Shalamar Medical and Dental College &amp; Shamalar Hospital, </w:t>
                  </w:r>
                </w:p>
                <w:p w:rsidR="00E20A79" w:rsidRPr="009B3226" w:rsidRDefault="00E20A79" w:rsidP="00E20A79">
                  <w:pPr>
                    <w:jc w:val="both"/>
                    <w:rPr>
                      <w:sz w:val="20"/>
                      <w:szCs w:val="20"/>
                    </w:rPr>
                  </w:pPr>
                  <w:r w:rsidRPr="009B3226">
                    <w:rPr>
                      <w:sz w:val="20"/>
                      <w:szCs w:val="20"/>
                    </w:rPr>
                    <w:t xml:space="preserve">Lahore </w:t>
                  </w:r>
                </w:p>
                <w:p w:rsidR="00E20A79" w:rsidRPr="009B3226" w:rsidRDefault="00E20A79" w:rsidP="00E20A79">
                  <w:pPr>
                    <w:jc w:val="both"/>
                    <w:rPr>
                      <w:sz w:val="20"/>
                      <w:szCs w:val="20"/>
                    </w:rPr>
                  </w:pPr>
                  <w:r w:rsidRPr="009B3226">
                    <w:rPr>
                      <w:sz w:val="20"/>
                      <w:szCs w:val="20"/>
                    </w:rPr>
                    <w:t>Ph# 03334884070</w:t>
                  </w:r>
                </w:p>
                <w:p w:rsidR="00E20A79" w:rsidRPr="005237C3" w:rsidRDefault="00E20A79" w:rsidP="00E20A79">
                  <w:pPr>
                    <w:jc w:val="both"/>
                    <w:rPr>
                      <w:sz w:val="20"/>
                      <w:szCs w:val="20"/>
                    </w:rPr>
                  </w:pPr>
                  <w:r w:rsidRPr="009B3226">
                    <w:rPr>
                      <w:sz w:val="20"/>
                      <w:szCs w:val="20"/>
                    </w:rPr>
                    <w:t>E-mail</w:t>
                  </w:r>
                  <w:r w:rsidR="00F42B18">
                    <w:rPr>
                      <w:sz w:val="20"/>
                      <w:szCs w:val="20"/>
                    </w:rPr>
                    <w:t>:</w:t>
                  </w:r>
                  <w:r w:rsidRPr="005237C3">
                    <w:rPr>
                      <w:sz w:val="20"/>
                      <w:szCs w:val="20"/>
                    </w:rPr>
                    <w:t xml:space="preserve"> </w:t>
                  </w:r>
                  <w:hyperlink r:id="rId11" w:history="1">
                    <w:r w:rsidRPr="005237C3">
                      <w:rPr>
                        <w:rStyle w:val="Hyperlink"/>
                        <w:color w:val="auto"/>
                        <w:sz w:val="20"/>
                        <w:szCs w:val="20"/>
                        <w:u w:val="none"/>
                      </w:rPr>
                      <w:t>uzmasarwar@hotmail.com</w:t>
                    </w:r>
                  </w:hyperlink>
                </w:p>
              </w:txbxContent>
            </v:textbox>
            <w10:wrap type="tight"/>
          </v:shape>
        </w:pict>
      </w:r>
      <w:r w:rsidR="004847F0" w:rsidRPr="000D0C55">
        <w:rPr>
          <w:sz w:val="22"/>
          <w:szCs w:val="22"/>
        </w:rPr>
        <w:t>Hand eczema is a common form of eczema and is often chronic, distressing and a frequently disabling condition. According to a population</w:t>
      </w:r>
      <w:r w:rsidR="00AE1D2E">
        <w:rPr>
          <w:sz w:val="22"/>
          <w:szCs w:val="22"/>
        </w:rPr>
        <w:t>-</w:t>
      </w:r>
      <w:r w:rsidR="004847F0" w:rsidRPr="000D0C55">
        <w:rPr>
          <w:sz w:val="22"/>
          <w:szCs w:val="22"/>
        </w:rPr>
        <w:lastRenderedPageBreak/>
        <w:t>based retrospecti</w:t>
      </w:r>
      <w:r w:rsidR="00AE1D2E">
        <w:rPr>
          <w:sz w:val="22"/>
          <w:szCs w:val="22"/>
        </w:rPr>
        <w:t>ve study, the incidence of self-</w:t>
      </w:r>
      <w:r w:rsidR="004847F0" w:rsidRPr="000D0C55">
        <w:rPr>
          <w:sz w:val="22"/>
          <w:szCs w:val="22"/>
        </w:rPr>
        <w:t>reported hand eczema was 5.5 cases per 1000 person per year.</w:t>
      </w:r>
      <w:r w:rsidR="00C9787D" w:rsidRPr="00AE1D2E">
        <w:rPr>
          <w:sz w:val="18"/>
          <w:szCs w:val="22"/>
          <w:vertAlign w:val="superscript"/>
        </w:rPr>
        <w:t>1</w:t>
      </w:r>
      <w:r w:rsidR="004847F0" w:rsidRPr="000D0C55">
        <w:rPr>
          <w:sz w:val="22"/>
          <w:szCs w:val="22"/>
        </w:rPr>
        <w:t xml:space="preserve"> Hand eczema has multifactorial etiology which may be endogenous or exogenous: either irritant or allergic or it may be a combination of both. One study showed that allergic, irritant and unclassified hand eczema accounts for 23.2%, 17.1% and 51.3%</w:t>
      </w:r>
      <w:r w:rsidR="00AE1D2E">
        <w:rPr>
          <w:sz w:val="22"/>
          <w:szCs w:val="22"/>
        </w:rPr>
        <w:t>,</w:t>
      </w:r>
      <w:r w:rsidR="004847F0" w:rsidRPr="000D0C55">
        <w:rPr>
          <w:sz w:val="22"/>
          <w:szCs w:val="22"/>
        </w:rPr>
        <w:t xml:space="preserve"> respectively.</w:t>
      </w:r>
      <w:r w:rsidR="00C9787D" w:rsidRPr="00AE1D2E">
        <w:rPr>
          <w:sz w:val="18"/>
          <w:szCs w:val="22"/>
          <w:vertAlign w:val="superscript"/>
        </w:rPr>
        <w:t>2</w:t>
      </w:r>
      <w:r w:rsidR="004847F0" w:rsidRPr="000D0C55">
        <w:rPr>
          <w:sz w:val="22"/>
          <w:szCs w:val="22"/>
        </w:rPr>
        <w:t xml:space="preserve"> Atopic dermatitis and wet work is associated with increased risk.</w:t>
      </w:r>
      <w:r w:rsidR="00C9787D" w:rsidRPr="00AE1D2E">
        <w:rPr>
          <w:sz w:val="18"/>
          <w:szCs w:val="22"/>
          <w:vertAlign w:val="superscript"/>
        </w:rPr>
        <w:t>3</w:t>
      </w:r>
      <w:r w:rsidR="004847F0" w:rsidRPr="000D0C55">
        <w:rPr>
          <w:sz w:val="22"/>
          <w:szCs w:val="22"/>
        </w:rPr>
        <w:t xml:space="preserve"> Endogenous eczemas are diagnosed clinically while allergic contact dermatitis (ACD) is confirmed with </w:t>
      </w:r>
      <w:r w:rsidR="004847F0" w:rsidRPr="000D0C55">
        <w:rPr>
          <w:sz w:val="22"/>
          <w:szCs w:val="22"/>
        </w:rPr>
        <w:lastRenderedPageBreak/>
        <w:t xml:space="preserve">patch testing. Irritant contact dermatitis (ICD) </w:t>
      </w:r>
      <w:r w:rsidR="00AE1D2E">
        <w:rPr>
          <w:sz w:val="22"/>
          <w:szCs w:val="22"/>
        </w:rPr>
        <w:t>is a diagnosis of exclusion.</w:t>
      </w:r>
    </w:p>
    <w:p w:rsidR="004847F0" w:rsidRPr="000D0C55" w:rsidRDefault="005237C3" w:rsidP="000D0C55">
      <w:pPr>
        <w:spacing w:before="100" w:beforeAutospacing="1" w:after="100" w:afterAutospacing="1" w:line="288" w:lineRule="auto"/>
        <w:jc w:val="both"/>
        <w:rPr>
          <w:sz w:val="22"/>
          <w:szCs w:val="22"/>
        </w:rPr>
      </w:pPr>
      <w:r>
        <w:rPr>
          <w:sz w:val="22"/>
          <w:szCs w:val="22"/>
        </w:rPr>
        <w:t>The c</w:t>
      </w:r>
      <w:r w:rsidR="004847F0" w:rsidRPr="000D0C55">
        <w:rPr>
          <w:sz w:val="22"/>
          <w:szCs w:val="22"/>
        </w:rPr>
        <w:t>ommonest allergens causing sensitization in hand eczema are present in European standard series. Hand eczema is treated with a variety of topical and oral drugs depending on severity and chronicity of the disease. Topical</w:t>
      </w:r>
      <w:r w:rsidR="00C9787D" w:rsidRPr="000D0C55">
        <w:rPr>
          <w:sz w:val="22"/>
          <w:szCs w:val="22"/>
        </w:rPr>
        <w:t xml:space="preserve"> </w:t>
      </w:r>
      <w:r w:rsidR="003B2C9B" w:rsidRPr="000D0C55">
        <w:rPr>
          <w:sz w:val="22"/>
          <w:szCs w:val="22"/>
        </w:rPr>
        <w:t>corticosteroids</w:t>
      </w:r>
      <w:r w:rsidR="00C9787D" w:rsidRPr="000D0C55">
        <w:rPr>
          <w:sz w:val="22"/>
          <w:szCs w:val="22"/>
        </w:rPr>
        <w:t xml:space="preserve"> are </w:t>
      </w:r>
      <w:r w:rsidR="004847F0" w:rsidRPr="000D0C55">
        <w:rPr>
          <w:sz w:val="22"/>
          <w:szCs w:val="22"/>
        </w:rPr>
        <w:t xml:space="preserve">used most commonly to control the symptoms but contact allergy to </w:t>
      </w:r>
      <w:r w:rsidR="003B2C9B" w:rsidRPr="000D0C55">
        <w:rPr>
          <w:sz w:val="22"/>
          <w:szCs w:val="22"/>
        </w:rPr>
        <w:t>corticosteroids</w:t>
      </w:r>
      <w:r w:rsidR="004847F0" w:rsidRPr="000D0C55">
        <w:rPr>
          <w:sz w:val="22"/>
          <w:szCs w:val="22"/>
        </w:rPr>
        <w:t xml:space="preserve"> is also known and diagnosis can be made with either patch testing or intradermal testing.</w:t>
      </w:r>
      <w:r w:rsidR="00C9787D" w:rsidRPr="00AE1D2E">
        <w:rPr>
          <w:sz w:val="18"/>
          <w:szCs w:val="22"/>
          <w:vertAlign w:val="superscript"/>
        </w:rPr>
        <w:t>4</w:t>
      </w:r>
      <w:r w:rsidR="004847F0" w:rsidRPr="000D0C55">
        <w:rPr>
          <w:sz w:val="22"/>
          <w:szCs w:val="22"/>
        </w:rPr>
        <w:t xml:space="preserve"> Allergic contact dermatitis due to corticosteroids may be due to active ingredients, vehicle component, preservative agents and fragrance.</w:t>
      </w:r>
      <w:r w:rsidR="00C9787D" w:rsidRPr="00AE1D2E">
        <w:rPr>
          <w:sz w:val="18"/>
          <w:szCs w:val="22"/>
          <w:vertAlign w:val="superscript"/>
        </w:rPr>
        <w:t>5</w:t>
      </w:r>
      <w:r w:rsidR="004847F0" w:rsidRPr="000D0C55">
        <w:rPr>
          <w:sz w:val="22"/>
          <w:szCs w:val="22"/>
        </w:rPr>
        <w:t xml:space="preserve"> The underlying mechanism is the development of delayed hypersensitivity against topical corticosteroids.</w:t>
      </w:r>
      <w:r w:rsidR="00C9787D" w:rsidRPr="00AE1D2E">
        <w:rPr>
          <w:sz w:val="18"/>
          <w:szCs w:val="22"/>
          <w:vertAlign w:val="superscript"/>
        </w:rPr>
        <w:t>6</w:t>
      </w:r>
      <w:r w:rsidR="004847F0" w:rsidRPr="000D0C55">
        <w:rPr>
          <w:sz w:val="22"/>
          <w:szCs w:val="22"/>
        </w:rPr>
        <w:t xml:space="preserve"> Contact allergy to corticosteroids is usually missed because the anti-inflammatory action they produce usually masks the clinical signs of contact dermatitis.</w:t>
      </w:r>
      <w:r w:rsidR="00C9787D" w:rsidRPr="00AE1D2E">
        <w:rPr>
          <w:sz w:val="18"/>
          <w:szCs w:val="22"/>
          <w:vertAlign w:val="superscript"/>
        </w:rPr>
        <w:t>7</w:t>
      </w:r>
      <w:r w:rsidR="004847F0" w:rsidRPr="000D0C55">
        <w:rPr>
          <w:sz w:val="22"/>
          <w:szCs w:val="22"/>
        </w:rPr>
        <w:t xml:space="preserve"> </w:t>
      </w:r>
    </w:p>
    <w:p w:rsidR="00C9787D" w:rsidRPr="000D0C55" w:rsidRDefault="000D0C55" w:rsidP="000D0C55">
      <w:pPr>
        <w:pStyle w:val="BodyText"/>
        <w:spacing w:before="100" w:beforeAutospacing="1" w:after="100" w:afterAutospacing="1" w:line="288" w:lineRule="auto"/>
        <w:rPr>
          <w:b/>
          <w:bCs/>
          <w:sz w:val="22"/>
          <w:szCs w:val="22"/>
        </w:rPr>
      </w:pPr>
      <w:r w:rsidRPr="000D0C55">
        <w:rPr>
          <w:b/>
          <w:bCs/>
          <w:sz w:val="22"/>
          <w:szCs w:val="22"/>
        </w:rPr>
        <w:t>Patients and methods</w:t>
      </w:r>
    </w:p>
    <w:p w:rsidR="00AE1D2E" w:rsidRDefault="00C9787D" w:rsidP="000D0C55">
      <w:pPr>
        <w:pStyle w:val="BodyText"/>
        <w:spacing w:before="100" w:beforeAutospacing="1" w:after="100" w:afterAutospacing="1" w:line="288" w:lineRule="auto"/>
        <w:rPr>
          <w:sz w:val="22"/>
          <w:szCs w:val="22"/>
        </w:rPr>
      </w:pPr>
      <w:r w:rsidRPr="000D0C55">
        <w:rPr>
          <w:bCs/>
          <w:sz w:val="22"/>
          <w:szCs w:val="22"/>
        </w:rPr>
        <w:t>The study was conducted in the dermatology</w:t>
      </w:r>
      <w:r w:rsidR="00B46642" w:rsidRPr="000D0C55">
        <w:rPr>
          <w:bCs/>
          <w:sz w:val="22"/>
          <w:szCs w:val="22"/>
        </w:rPr>
        <w:t xml:space="preserve"> department, unit II, Mayo hospital, Lahore for duration of 14 months from September 2009 to November 2010. Calculated sample size was 105 cases with 6% margin of error and 95% confidence level. </w:t>
      </w:r>
      <w:r w:rsidR="00D143AB" w:rsidRPr="000D0C55">
        <w:rPr>
          <w:sz w:val="22"/>
          <w:szCs w:val="22"/>
        </w:rPr>
        <w:t xml:space="preserve">Patients </w:t>
      </w:r>
      <w:r w:rsidR="00B46642" w:rsidRPr="000D0C55">
        <w:rPr>
          <w:sz w:val="22"/>
          <w:szCs w:val="22"/>
        </w:rPr>
        <w:t>of either sex with hand eczema</w:t>
      </w:r>
      <w:r w:rsidR="00AE1D2E">
        <w:rPr>
          <w:sz w:val="22"/>
          <w:szCs w:val="22"/>
        </w:rPr>
        <w:t>,</w:t>
      </w:r>
      <w:r w:rsidR="00B46642" w:rsidRPr="000D0C55">
        <w:rPr>
          <w:sz w:val="22"/>
          <w:szCs w:val="22"/>
        </w:rPr>
        <w:t xml:space="preserve"> aged 12 years and above</w:t>
      </w:r>
      <w:r w:rsidR="00CE5A6C" w:rsidRPr="000D0C55">
        <w:rPr>
          <w:sz w:val="22"/>
          <w:szCs w:val="22"/>
        </w:rPr>
        <w:t xml:space="preserve"> presenting to outpatient department </w:t>
      </w:r>
      <w:r w:rsidR="00D143AB" w:rsidRPr="000D0C55">
        <w:rPr>
          <w:sz w:val="22"/>
          <w:szCs w:val="22"/>
        </w:rPr>
        <w:t>were enrolled in the study.</w:t>
      </w:r>
      <w:r w:rsidR="00B46642" w:rsidRPr="000D0C55">
        <w:rPr>
          <w:sz w:val="22"/>
          <w:szCs w:val="22"/>
        </w:rPr>
        <w:t xml:space="preserve"> Any patient on </w:t>
      </w:r>
      <w:r w:rsidR="00AE1D2E">
        <w:rPr>
          <w:sz w:val="22"/>
          <w:szCs w:val="22"/>
        </w:rPr>
        <w:t xml:space="preserve">systemic corticosteroids or any </w:t>
      </w:r>
      <w:r w:rsidR="00B46642" w:rsidRPr="000D0C55">
        <w:rPr>
          <w:sz w:val="22"/>
          <w:szCs w:val="22"/>
        </w:rPr>
        <w:t>other immunosuppressive therapy during last 2-4 weeks</w:t>
      </w:r>
      <w:r w:rsidR="00361B60" w:rsidRPr="000D0C55">
        <w:rPr>
          <w:sz w:val="22"/>
          <w:szCs w:val="22"/>
        </w:rPr>
        <w:t xml:space="preserve">, determined on </w:t>
      </w:r>
      <w:r w:rsidR="00361B60" w:rsidRPr="000D0C55">
        <w:rPr>
          <w:sz w:val="22"/>
          <w:szCs w:val="22"/>
        </w:rPr>
        <w:lastRenderedPageBreak/>
        <w:t>history was</w:t>
      </w:r>
      <w:r w:rsidR="00B46642" w:rsidRPr="000D0C55">
        <w:rPr>
          <w:sz w:val="22"/>
          <w:szCs w:val="22"/>
        </w:rPr>
        <w:t xml:space="preserve"> excluded from the study. Pregnant ladies were also not patch tested.</w:t>
      </w:r>
      <w:r w:rsidR="00D143AB" w:rsidRPr="000D0C55">
        <w:rPr>
          <w:sz w:val="22"/>
          <w:szCs w:val="22"/>
        </w:rPr>
        <w:t xml:space="preserve"> After taking info</w:t>
      </w:r>
      <w:r w:rsidR="00100CF5" w:rsidRPr="000D0C55">
        <w:rPr>
          <w:sz w:val="22"/>
          <w:szCs w:val="22"/>
        </w:rPr>
        <w:t xml:space="preserve">rmed consent from patients, </w:t>
      </w:r>
      <w:r w:rsidR="00B81DED">
        <w:rPr>
          <w:sz w:val="22"/>
          <w:szCs w:val="22"/>
        </w:rPr>
        <w:t>a detailed h</w:t>
      </w:r>
      <w:r w:rsidR="00D143AB" w:rsidRPr="000D0C55">
        <w:rPr>
          <w:sz w:val="22"/>
          <w:szCs w:val="22"/>
        </w:rPr>
        <w:t xml:space="preserve">istory was taken and clinical examination was performed on first visit. All the information was recorded in the </w:t>
      </w:r>
      <w:r w:rsidR="00361B60" w:rsidRPr="000D0C55">
        <w:rPr>
          <w:sz w:val="22"/>
          <w:szCs w:val="22"/>
        </w:rPr>
        <w:t>p</w:t>
      </w:r>
      <w:r w:rsidR="00AE1D2E">
        <w:rPr>
          <w:sz w:val="22"/>
          <w:szCs w:val="22"/>
        </w:rPr>
        <w:t xml:space="preserve">ro </w:t>
      </w:r>
      <w:r w:rsidR="00361B60" w:rsidRPr="000D0C55">
        <w:rPr>
          <w:sz w:val="22"/>
          <w:szCs w:val="22"/>
        </w:rPr>
        <w:t>forma</w:t>
      </w:r>
      <w:r w:rsidR="00D143AB" w:rsidRPr="000D0C55">
        <w:rPr>
          <w:sz w:val="22"/>
          <w:szCs w:val="22"/>
        </w:rPr>
        <w:t xml:space="preserve">. Eczema was treated. </w:t>
      </w:r>
    </w:p>
    <w:p w:rsidR="00AE1D2E" w:rsidRDefault="00D143AB" w:rsidP="000D0C55">
      <w:pPr>
        <w:pStyle w:val="BodyText"/>
        <w:spacing w:before="100" w:beforeAutospacing="1" w:after="100" w:afterAutospacing="1" w:line="288" w:lineRule="auto"/>
        <w:rPr>
          <w:bCs/>
          <w:sz w:val="22"/>
          <w:szCs w:val="22"/>
        </w:rPr>
      </w:pPr>
      <w:r w:rsidRPr="000D0C55">
        <w:rPr>
          <w:sz w:val="22"/>
          <w:szCs w:val="22"/>
        </w:rPr>
        <w:t xml:space="preserve">Patch testing was performed a fortnight after complete resolution of signs and symptoms of eczema and after complete withdrawal of the drugs. The patch testing was done with allergens of European standard </w:t>
      </w:r>
      <w:r w:rsidR="00B81DED">
        <w:rPr>
          <w:sz w:val="22"/>
          <w:szCs w:val="22"/>
        </w:rPr>
        <w:t xml:space="preserve">series (ESS) </w:t>
      </w:r>
      <w:r w:rsidRPr="000D0C55">
        <w:rPr>
          <w:sz w:val="22"/>
          <w:szCs w:val="22"/>
        </w:rPr>
        <w:t>and corticosteroid series. The patches were applied to the upper back and covered with hypoallergenic transpore tape. The patients were advised to refrain from exposing the patch test area to moisture or sweat and to avoid strenuous exercise which could dislodge the patches. Patches were removed after 48 hours. Individual chamber’s location was marked with a hypoallergenic skin marker. Results were read after tape erythema settled down. A second and third reading was done at 72 and 120 hrs after patch test removal. The patch test reactions were graded according to</w:t>
      </w:r>
      <w:r w:rsidR="00817353" w:rsidRPr="000D0C55">
        <w:rPr>
          <w:sz w:val="22"/>
          <w:szCs w:val="22"/>
        </w:rPr>
        <w:t xml:space="preserve"> the international contact dermatitis research group (</w:t>
      </w:r>
      <w:r w:rsidRPr="000D0C55">
        <w:rPr>
          <w:sz w:val="22"/>
          <w:szCs w:val="22"/>
        </w:rPr>
        <w:t>ICDRG</w:t>
      </w:r>
      <w:r w:rsidR="00817353" w:rsidRPr="000D0C55">
        <w:rPr>
          <w:sz w:val="22"/>
          <w:szCs w:val="22"/>
        </w:rPr>
        <w:t>)</w:t>
      </w:r>
      <w:r w:rsidRPr="000D0C55">
        <w:rPr>
          <w:sz w:val="22"/>
          <w:szCs w:val="22"/>
        </w:rPr>
        <w:t xml:space="preserve"> criteria</w:t>
      </w:r>
      <w:r w:rsidR="00817353" w:rsidRPr="00AE1D2E">
        <w:rPr>
          <w:sz w:val="16"/>
          <w:szCs w:val="22"/>
          <w:vertAlign w:val="superscript"/>
        </w:rPr>
        <w:t>8</w:t>
      </w:r>
      <w:r w:rsidR="00817353" w:rsidRPr="000D0C55">
        <w:rPr>
          <w:sz w:val="22"/>
          <w:szCs w:val="22"/>
          <w:vertAlign w:val="superscript"/>
        </w:rPr>
        <w:t xml:space="preserve"> </w:t>
      </w:r>
      <w:r w:rsidR="00817353" w:rsidRPr="000D0C55">
        <w:rPr>
          <w:sz w:val="22"/>
          <w:szCs w:val="22"/>
        </w:rPr>
        <w:t>(</w:t>
      </w:r>
      <w:r w:rsidR="00817353" w:rsidRPr="00AE1D2E">
        <w:rPr>
          <w:b/>
          <w:sz w:val="22"/>
          <w:szCs w:val="22"/>
        </w:rPr>
        <w:t>Table 1</w:t>
      </w:r>
      <w:r w:rsidR="00817353" w:rsidRPr="000D0C55">
        <w:rPr>
          <w:sz w:val="22"/>
          <w:szCs w:val="22"/>
        </w:rPr>
        <w:t>)</w:t>
      </w:r>
      <w:r w:rsidR="00AE1D2E">
        <w:rPr>
          <w:sz w:val="22"/>
          <w:szCs w:val="22"/>
        </w:rPr>
        <w:t>;</w:t>
      </w:r>
      <w:r w:rsidRPr="000D0C55">
        <w:rPr>
          <w:sz w:val="22"/>
          <w:szCs w:val="22"/>
        </w:rPr>
        <w:t xml:space="preserve"> +, ++, +++ were considered as positive reaction.</w:t>
      </w:r>
      <w:r w:rsidR="0030693A" w:rsidRPr="000D0C55">
        <w:rPr>
          <w:bCs/>
          <w:sz w:val="22"/>
          <w:szCs w:val="22"/>
        </w:rPr>
        <w:t xml:space="preserve"> </w:t>
      </w:r>
    </w:p>
    <w:p w:rsidR="00F42B18" w:rsidRDefault="00D143AB" w:rsidP="00F42B18">
      <w:pPr>
        <w:pStyle w:val="BodyText"/>
        <w:spacing w:before="100" w:beforeAutospacing="1" w:after="100" w:afterAutospacing="1" w:line="288" w:lineRule="auto"/>
        <w:rPr>
          <w:sz w:val="22"/>
          <w:szCs w:val="22"/>
        </w:rPr>
        <w:sectPr w:rsidR="00F42B18" w:rsidSect="009B3226">
          <w:type w:val="continuous"/>
          <w:pgSz w:w="12240" w:h="15840"/>
          <w:pgMar w:top="1440" w:right="1440" w:bottom="1440" w:left="1440" w:header="720" w:footer="720" w:gutter="0"/>
          <w:cols w:num="2" w:space="720"/>
          <w:docGrid w:linePitch="360"/>
        </w:sectPr>
      </w:pPr>
      <w:r w:rsidRPr="000D0C55">
        <w:rPr>
          <w:sz w:val="22"/>
          <w:szCs w:val="22"/>
        </w:rPr>
        <w:t xml:space="preserve">Collected information was transferred to SPSS version 11.0 computer software </w:t>
      </w:r>
      <w:r w:rsidR="00817353" w:rsidRPr="000D0C55">
        <w:rPr>
          <w:sz w:val="22"/>
          <w:szCs w:val="22"/>
        </w:rPr>
        <w:t>program</w:t>
      </w:r>
      <w:r w:rsidRPr="000D0C55">
        <w:rPr>
          <w:sz w:val="22"/>
          <w:szCs w:val="22"/>
        </w:rPr>
        <w:t xml:space="preserve"> and was analyzed accordingly. The study variables were age, sex and positive patch test results</w:t>
      </w:r>
      <w:r w:rsidR="00E943B2" w:rsidRPr="000D0C55">
        <w:rPr>
          <w:sz w:val="22"/>
          <w:szCs w:val="22"/>
        </w:rPr>
        <w:t>. T</w:t>
      </w:r>
      <w:r w:rsidRPr="000D0C55">
        <w:rPr>
          <w:sz w:val="22"/>
          <w:szCs w:val="22"/>
        </w:rPr>
        <w:t>he age being quantitat</w:t>
      </w:r>
      <w:r w:rsidR="00B81DED">
        <w:rPr>
          <w:sz w:val="22"/>
          <w:szCs w:val="22"/>
        </w:rPr>
        <w:t>ive variable, was expressed as m</w:t>
      </w:r>
      <w:r w:rsidRPr="000D0C55">
        <w:rPr>
          <w:sz w:val="22"/>
          <w:szCs w:val="22"/>
        </w:rPr>
        <w:t>ean</w:t>
      </w:r>
      <w:r w:rsidR="00AE1D2E">
        <w:rPr>
          <w:sz w:val="22"/>
          <w:szCs w:val="22"/>
        </w:rPr>
        <w:t>±</w:t>
      </w:r>
      <w:r w:rsidRPr="000D0C55">
        <w:rPr>
          <w:sz w:val="22"/>
          <w:szCs w:val="22"/>
        </w:rPr>
        <w:t xml:space="preserve">SD. </w:t>
      </w:r>
    </w:p>
    <w:p w:rsidR="00F42B18" w:rsidRDefault="00F42B18" w:rsidP="00F42B18">
      <w:pPr>
        <w:tabs>
          <w:tab w:val="center" w:pos="1828"/>
        </w:tabs>
        <w:autoSpaceDE w:val="0"/>
        <w:autoSpaceDN w:val="0"/>
        <w:adjustRightInd w:val="0"/>
        <w:rPr>
          <w:bCs/>
          <w:i/>
          <w:iCs/>
          <w:color w:val="000000"/>
          <w:sz w:val="20"/>
          <w:szCs w:val="20"/>
        </w:rPr>
      </w:pPr>
      <w:r w:rsidRPr="009C20D8">
        <w:rPr>
          <w:b/>
          <w:bCs/>
          <w:color w:val="000000"/>
          <w:sz w:val="20"/>
          <w:szCs w:val="20"/>
        </w:rPr>
        <w:lastRenderedPageBreak/>
        <w:t xml:space="preserve">Table 1 </w:t>
      </w:r>
      <w:r w:rsidRPr="009C20D8">
        <w:rPr>
          <w:bCs/>
          <w:color w:val="000000"/>
          <w:sz w:val="20"/>
          <w:szCs w:val="20"/>
        </w:rPr>
        <w:t>International contact dermatitis Research group criteria (</w:t>
      </w:r>
      <w:r w:rsidRPr="009C20D8">
        <w:rPr>
          <w:bCs/>
          <w:i/>
          <w:iCs/>
          <w:color w:val="000000"/>
          <w:sz w:val="20"/>
          <w:szCs w:val="20"/>
        </w:rPr>
        <w:t>ICDRGC)</w:t>
      </w:r>
      <w:r>
        <w:rPr>
          <w:bCs/>
          <w:i/>
          <w:iCs/>
          <w:color w:val="000000"/>
          <w:sz w:val="20"/>
          <w:szCs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F42B18" w:rsidTr="00F42B18">
        <w:tc>
          <w:tcPr>
            <w:tcW w:w="4788" w:type="dxa"/>
            <w:tcBorders>
              <w:top w:val="single" w:sz="4" w:space="0" w:color="auto"/>
              <w:bottom w:val="single" w:sz="4" w:space="0" w:color="auto"/>
            </w:tcBorders>
          </w:tcPr>
          <w:p w:rsidR="00F42B18" w:rsidRDefault="00F42B18" w:rsidP="00F42B18">
            <w:pPr>
              <w:tabs>
                <w:tab w:val="center" w:pos="1828"/>
              </w:tabs>
              <w:autoSpaceDE w:val="0"/>
              <w:autoSpaceDN w:val="0"/>
              <w:adjustRightInd w:val="0"/>
              <w:rPr>
                <w:bCs/>
                <w:color w:val="000000"/>
                <w:sz w:val="20"/>
                <w:szCs w:val="20"/>
              </w:rPr>
            </w:pPr>
            <w:r w:rsidRPr="00FC69BA">
              <w:rPr>
                <w:bCs/>
                <w:i/>
                <w:color w:val="000000"/>
                <w:sz w:val="20"/>
                <w:szCs w:val="20"/>
              </w:rPr>
              <w:t xml:space="preserve">Skin </w:t>
            </w:r>
            <w:r>
              <w:rPr>
                <w:bCs/>
                <w:i/>
                <w:color w:val="000000"/>
                <w:sz w:val="20"/>
                <w:szCs w:val="20"/>
              </w:rPr>
              <w:t>c</w:t>
            </w:r>
            <w:r w:rsidRPr="00FC69BA">
              <w:rPr>
                <w:bCs/>
                <w:i/>
                <w:color w:val="000000"/>
                <w:sz w:val="20"/>
                <w:szCs w:val="20"/>
              </w:rPr>
              <w:t>hanges</w:t>
            </w:r>
          </w:p>
        </w:tc>
        <w:tc>
          <w:tcPr>
            <w:tcW w:w="4788" w:type="dxa"/>
            <w:tcBorders>
              <w:top w:val="single" w:sz="4" w:space="0" w:color="auto"/>
              <w:bottom w:val="single" w:sz="4" w:space="0" w:color="auto"/>
            </w:tcBorders>
          </w:tcPr>
          <w:p w:rsidR="00F42B18" w:rsidRDefault="00F42B18" w:rsidP="007F56D2">
            <w:pPr>
              <w:tabs>
                <w:tab w:val="center" w:pos="1828"/>
              </w:tabs>
              <w:autoSpaceDE w:val="0"/>
              <w:autoSpaceDN w:val="0"/>
              <w:adjustRightInd w:val="0"/>
              <w:rPr>
                <w:bCs/>
                <w:color w:val="000000"/>
                <w:sz w:val="20"/>
                <w:szCs w:val="20"/>
              </w:rPr>
            </w:pPr>
            <w:r w:rsidRPr="00FC69BA">
              <w:rPr>
                <w:bCs/>
                <w:i/>
                <w:color w:val="000000"/>
                <w:sz w:val="20"/>
                <w:szCs w:val="20"/>
              </w:rPr>
              <w:t>Interpretation</w:t>
            </w:r>
          </w:p>
        </w:tc>
      </w:tr>
      <w:tr w:rsidR="00F42B18" w:rsidTr="00F42B18">
        <w:tc>
          <w:tcPr>
            <w:tcW w:w="4788" w:type="dxa"/>
            <w:tcBorders>
              <w:top w:val="single" w:sz="4" w:space="0" w:color="auto"/>
            </w:tcBorders>
          </w:tcPr>
          <w:p w:rsidR="00F42B1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No skin lesion</w:t>
            </w:r>
          </w:p>
        </w:tc>
        <w:tc>
          <w:tcPr>
            <w:tcW w:w="4788" w:type="dxa"/>
            <w:tcBorders>
              <w:top w:val="single" w:sz="4" w:space="0" w:color="auto"/>
            </w:tcBorders>
          </w:tcPr>
          <w:p w:rsidR="00F42B1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Negative  (-)</w:t>
            </w:r>
          </w:p>
        </w:tc>
      </w:tr>
      <w:tr w:rsidR="00F42B18" w:rsidTr="00F42B18">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Faint erythema only</w:t>
            </w:r>
          </w:p>
        </w:tc>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Doubtful reaction (+ ?)</w:t>
            </w:r>
          </w:p>
        </w:tc>
      </w:tr>
      <w:tr w:rsidR="00F42B18" w:rsidTr="00F42B18">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Erythema, infiltration, possibly</w:t>
            </w:r>
            <w:r>
              <w:rPr>
                <w:bCs/>
                <w:color w:val="000000"/>
                <w:sz w:val="20"/>
                <w:szCs w:val="20"/>
              </w:rPr>
              <w:t xml:space="preserve"> </w:t>
            </w:r>
            <w:r w:rsidRPr="009C20D8">
              <w:rPr>
                <w:bCs/>
                <w:color w:val="000000"/>
                <w:sz w:val="20"/>
                <w:szCs w:val="20"/>
              </w:rPr>
              <w:t>papule</w:t>
            </w:r>
            <w:r>
              <w:rPr>
                <w:bCs/>
                <w:color w:val="000000"/>
                <w:sz w:val="20"/>
                <w:szCs w:val="20"/>
              </w:rPr>
              <w:t>s</w:t>
            </w:r>
          </w:p>
        </w:tc>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iCs/>
                <w:color w:val="000000"/>
                <w:sz w:val="20"/>
                <w:szCs w:val="20"/>
              </w:rPr>
              <w:t>Weak positive reaction (+)</w:t>
            </w:r>
          </w:p>
        </w:tc>
      </w:tr>
      <w:tr w:rsidR="00F42B18" w:rsidTr="00F42B18">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Erythema</w:t>
            </w:r>
            <w:r>
              <w:rPr>
                <w:bCs/>
                <w:color w:val="000000"/>
                <w:sz w:val="20"/>
                <w:szCs w:val="20"/>
              </w:rPr>
              <w:t>, infiltration,</w:t>
            </w:r>
            <w:r w:rsidRPr="009C20D8">
              <w:rPr>
                <w:bCs/>
                <w:color w:val="000000"/>
                <w:sz w:val="20"/>
                <w:szCs w:val="20"/>
              </w:rPr>
              <w:t xml:space="preserve"> papules and vesicles</w:t>
            </w:r>
          </w:p>
        </w:tc>
        <w:tc>
          <w:tcPr>
            <w:tcW w:w="4788" w:type="dxa"/>
          </w:tcPr>
          <w:p w:rsidR="00F42B18" w:rsidRPr="009C20D8" w:rsidRDefault="00F42B18" w:rsidP="007F56D2">
            <w:pPr>
              <w:tabs>
                <w:tab w:val="center" w:pos="1828"/>
              </w:tabs>
              <w:autoSpaceDE w:val="0"/>
              <w:autoSpaceDN w:val="0"/>
              <w:adjustRightInd w:val="0"/>
              <w:rPr>
                <w:bCs/>
                <w:iCs/>
                <w:color w:val="000000"/>
                <w:sz w:val="20"/>
                <w:szCs w:val="20"/>
              </w:rPr>
            </w:pPr>
            <w:r w:rsidRPr="009C20D8">
              <w:rPr>
                <w:bCs/>
                <w:iCs/>
                <w:color w:val="000000"/>
                <w:sz w:val="20"/>
                <w:szCs w:val="20"/>
              </w:rPr>
              <w:t>Strong positive reaction (++)</w:t>
            </w:r>
          </w:p>
        </w:tc>
      </w:tr>
      <w:tr w:rsidR="00F42B18" w:rsidTr="00F42B18">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Intense erythema and infiltration</w:t>
            </w:r>
            <w:r>
              <w:rPr>
                <w:bCs/>
                <w:color w:val="000000"/>
                <w:sz w:val="20"/>
                <w:szCs w:val="20"/>
              </w:rPr>
              <w:t xml:space="preserve"> </w:t>
            </w:r>
            <w:r w:rsidRPr="009C20D8">
              <w:rPr>
                <w:bCs/>
                <w:color w:val="000000"/>
                <w:sz w:val="20"/>
                <w:szCs w:val="20"/>
              </w:rPr>
              <w:t>and coalescing vesicles</w:t>
            </w:r>
          </w:p>
        </w:tc>
        <w:tc>
          <w:tcPr>
            <w:tcW w:w="4788" w:type="dxa"/>
          </w:tcPr>
          <w:p w:rsidR="00F42B18" w:rsidRPr="009C20D8" w:rsidRDefault="00F42B18" w:rsidP="007F56D2">
            <w:pPr>
              <w:tabs>
                <w:tab w:val="center" w:pos="1828"/>
              </w:tabs>
              <w:autoSpaceDE w:val="0"/>
              <w:autoSpaceDN w:val="0"/>
              <w:adjustRightInd w:val="0"/>
              <w:rPr>
                <w:bCs/>
                <w:iCs/>
                <w:color w:val="000000"/>
                <w:sz w:val="20"/>
                <w:szCs w:val="20"/>
              </w:rPr>
            </w:pPr>
            <w:r w:rsidRPr="009C20D8">
              <w:rPr>
                <w:bCs/>
                <w:iCs/>
                <w:color w:val="000000"/>
                <w:sz w:val="20"/>
                <w:szCs w:val="20"/>
              </w:rPr>
              <w:t>Extreme positive reaction (+++)</w:t>
            </w:r>
          </w:p>
        </w:tc>
      </w:tr>
      <w:tr w:rsidR="00F42B18" w:rsidTr="00F42B18">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Irritant reaction of different types</w:t>
            </w:r>
          </w:p>
        </w:tc>
        <w:tc>
          <w:tcPr>
            <w:tcW w:w="4788" w:type="dxa"/>
          </w:tcPr>
          <w:p w:rsidR="00F42B18" w:rsidRPr="009C20D8" w:rsidRDefault="00F42B18" w:rsidP="007F56D2">
            <w:pPr>
              <w:tabs>
                <w:tab w:val="center" w:pos="1828"/>
              </w:tabs>
              <w:autoSpaceDE w:val="0"/>
              <w:autoSpaceDN w:val="0"/>
              <w:adjustRightInd w:val="0"/>
              <w:rPr>
                <w:bCs/>
                <w:iCs/>
                <w:color w:val="000000"/>
                <w:sz w:val="20"/>
                <w:szCs w:val="20"/>
              </w:rPr>
            </w:pPr>
            <w:r w:rsidRPr="009C20D8">
              <w:rPr>
                <w:bCs/>
                <w:color w:val="000000"/>
                <w:sz w:val="20"/>
                <w:szCs w:val="20"/>
              </w:rPr>
              <w:t>(IR)</w:t>
            </w:r>
          </w:p>
        </w:tc>
      </w:tr>
      <w:tr w:rsidR="00F42B18" w:rsidTr="00F42B18">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Not tested</w:t>
            </w:r>
          </w:p>
        </w:tc>
        <w:tc>
          <w:tcPr>
            <w:tcW w:w="4788" w:type="dxa"/>
          </w:tcPr>
          <w:p w:rsidR="00F42B18" w:rsidRPr="009C20D8" w:rsidRDefault="00F42B18" w:rsidP="007F56D2">
            <w:pPr>
              <w:tabs>
                <w:tab w:val="center" w:pos="1828"/>
              </w:tabs>
              <w:autoSpaceDE w:val="0"/>
              <w:autoSpaceDN w:val="0"/>
              <w:adjustRightInd w:val="0"/>
              <w:rPr>
                <w:bCs/>
                <w:color w:val="000000"/>
                <w:sz w:val="20"/>
                <w:szCs w:val="20"/>
              </w:rPr>
            </w:pPr>
            <w:r w:rsidRPr="009C20D8">
              <w:rPr>
                <w:bCs/>
                <w:color w:val="000000"/>
                <w:sz w:val="20"/>
                <w:szCs w:val="20"/>
              </w:rPr>
              <w:t>(NT)</w:t>
            </w:r>
          </w:p>
        </w:tc>
      </w:tr>
    </w:tbl>
    <w:p w:rsidR="00F42B18" w:rsidRPr="00F42B18" w:rsidRDefault="00F42B18" w:rsidP="00F42B18">
      <w:pPr>
        <w:pStyle w:val="BodyText"/>
        <w:rPr>
          <w:sz w:val="20"/>
          <w:szCs w:val="22"/>
        </w:rPr>
      </w:pPr>
    </w:p>
    <w:p w:rsidR="00F42B18" w:rsidRDefault="00F42B18" w:rsidP="000D0C55">
      <w:pPr>
        <w:pStyle w:val="BodyText"/>
        <w:spacing w:before="100" w:beforeAutospacing="1" w:after="100" w:afterAutospacing="1" w:line="288" w:lineRule="auto"/>
        <w:rPr>
          <w:sz w:val="22"/>
          <w:szCs w:val="22"/>
        </w:rPr>
        <w:sectPr w:rsidR="00F42B18" w:rsidSect="00F42B18">
          <w:type w:val="continuous"/>
          <w:pgSz w:w="12240" w:h="15840"/>
          <w:pgMar w:top="1440" w:right="1440" w:bottom="1440" w:left="1440" w:header="720" w:footer="720" w:gutter="0"/>
          <w:cols w:space="720"/>
          <w:docGrid w:linePitch="360"/>
        </w:sectPr>
      </w:pPr>
    </w:p>
    <w:p w:rsidR="00F42B18" w:rsidRDefault="00F42B18" w:rsidP="00F42B18">
      <w:pPr>
        <w:pStyle w:val="Default"/>
        <w:jc w:val="both"/>
        <w:rPr>
          <w:rFonts w:ascii="Times New Roman" w:hAnsi="Times New Roman" w:cs="Times New Roman"/>
          <w:bCs/>
          <w:sz w:val="20"/>
          <w:szCs w:val="20"/>
        </w:rPr>
      </w:pPr>
      <w:r w:rsidRPr="009C20D8">
        <w:rPr>
          <w:rFonts w:ascii="Times New Roman" w:hAnsi="Times New Roman" w:cs="Times New Roman"/>
          <w:b/>
          <w:sz w:val="20"/>
          <w:szCs w:val="20"/>
        </w:rPr>
        <w:lastRenderedPageBreak/>
        <w:t>Table 2</w:t>
      </w:r>
      <w:r>
        <w:rPr>
          <w:rFonts w:ascii="Times New Roman" w:hAnsi="Times New Roman" w:cs="Times New Roman"/>
          <w:b/>
          <w:sz w:val="20"/>
          <w:szCs w:val="20"/>
        </w:rPr>
        <w:t xml:space="preserve"> </w:t>
      </w:r>
      <w:r w:rsidRPr="009F745C">
        <w:rPr>
          <w:rFonts w:ascii="Times New Roman" w:hAnsi="Times New Roman" w:cs="Times New Roman"/>
          <w:sz w:val="20"/>
          <w:szCs w:val="20"/>
        </w:rPr>
        <w:t>S</w:t>
      </w:r>
      <w:r w:rsidRPr="00FC69BA">
        <w:rPr>
          <w:rFonts w:ascii="Times New Roman" w:hAnsi="Times New Roman" w:cs="Times New Roman"/>
          <w:bCs/>
          <w:sz w:val="20"/>
          <w:szCs w:val="20"/>
        </w:rPr>
        <w:t xml:space="preserve">ensitivity to allergens of </w:t>
      </w:r>
      <w:r>
        <w:rPr>
          <w:rFonts w:ascii="Times New Roman" w:hAnsi="Times New Roman" w:cs="Times New Roman"/>
          <w:bCs/>
          <w:sz w:val="20"/>
          <w:szCs w:val="20"/>
        </w:rPr>
        <w:t>E</w:t>
      </w:r>
      <w:r w:rsidRPr="00FC69BA">
        <w:rPr>
          <w:rFonts w:ascii="Times New Roman" w:hAnsi="Times New Roman" w:cs="Times New Roman"/>
          <w:bCs/>
          <w:sz w:val="20"/>
          <w:szCs w:val="20"/>
        </w:rPr>
        <w:t>uropean standard series</w:t>
      </w:r>
      <w:r w:rsidR="009F745C">
        <w:rPr>
          <w:rFonts w:ascii="Times New Roman" w:hAnsi="Times New Roman" w:cs="Times New Roman"/>
          <w:bCs/>
          <w:sz w:val="20"/>
          <w:szCs w:val="20"/>
        </w:rPr>
        <w:t xml:space="preserve"> and c</w:t>
      </w:r>
      <w:r w:rsidR="009F745C" w:rsidRPr="00036D61">
        <w:rPr>
          <w:rFonts w:ascii="Times New Roman" w:hAnsi="Times New Roman" w:cs="Times New Roman"/>
          <w:bCs/>
          <w:sz w:val="20"/>
          <w:szCs w:val="20"/>
        </w:rPr>
        <w:t>orticosteroid series</w:t>
      </w:r>
      <w:r w:rsidRPr="00FC69BA">
        <w:rPr>
          <w:rFonts w:ascii="Times New Roman" w:hAnsi="Times New Roman" w:cs="Times New Roman"/>
          <w:bCs/>
          <w:sz w:val="20"/>
          <w:szCs w:val="20"/>
        </w:rPr>
        <w:t xml:space="preserve"> (n=105).</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8"/>
        <w:gridCol w:w="1440"/>
      </w:tblGrid>
      <w:tr w:rsidR="00F42B18" w:rsidTr="009F745C">
        <w:tc>
          <w:tcPr>
            <w:tcW w:w="3078" w:type="dxa"/>
            <w:tcBorders>
              <w:top w:val="single" w:sz="4" w:space="0" w:color="auto"/>
              <w:bottom w:val="single" w:sz="4" w:space="0" w:color="auto"/>
            </w:tcBorders>
          </w:tcPr>
          <w:p w:rsidR="00F42B18" w:rsidRPr="00F42B18" w:rsidRDefault="00F42B18" w:rsidP="007F56D2">
            <w:pPr>
              <w:pStyle w:val="Default"/>
              <w:jc w:val="both"/>
              <w:rPr>
                <w:rFonts w:ascii="Times New Roman" w:hAnsi="Times New Roman" w:cs="Times New Roman"/>
                <w:bCs/>
                <w:i/>
                <w:sz w:val="20"/>
                <w:szCs w:val="20"/>
              </w:rPr>
            </w:pPr>
            <w:r w:rsidRPr="00F42B18">
              <w:rPr>
                <w:rFonts w:ascii="Times New Roman" w:hAnsi="Times New Roman" w:cs="Times New Roman"/>
                <w:bCs/>
                <w:i/>
                <w:sz w:val="20"/>
                <w:szCs w:val="20"/>
              </w:rPr>
              <w:t>Allergen</w:t>
            </w:r>
          </w:p>
        </w:tc>
        <w:tc>
          <w:tcPr>
            <w:tcW w:w="1440" w:type="dxa"/>
            <w:tcBorders>
              <w:top w:val="single" w:sz="4" w:space="0" w:color="auto"/>
              <w:bottom w:val="single" w:sz="4" w:space="0" w:color="auto"/>
            </w:tcBorders>
          </w:tcPr>
          <w:p w:rsidR="00F42B18" w:rsidRPr="00F42B18" w:rsidRDefault="00F42B18" w:rsidP="007F56D2">
            <w:pPr>
              <w:pStyle w:val="Default"/>
              <w:jc w:val="both"/>
              <w:rPr>
                <w:rFonts w:ascii="Times New Roman" w:hAnsi="Times New Roman" w:cs="Times New Roman"/>
                <w:bCs/>
                <w:i/>
                <w:sz w:val="20"/>
                <w:szCs w:val="20"/>
              </w:rPr>
            </w:pPr>
            <w:r w:rsidRPr="00F42B18">
              <w:rPr>
                <w:rFonts w:ascii="Times New Roman" w:hAnsi="Times New Roman" w:cs="Times New Roman"/>
                <w:bCs/>
                <w:i/>
                <w:sz w:val="20"/>
                <w:szCs w:val="20"/>
              </w:rPr>
              <w:t>N (%)</w:t>
            </w:r>
          </w:p>
        </w:tc>
      </w:tr>
      <w:tr w:rsidR="009F745C" w:rsidTr="009F745C">
        <w:tc>
          <w:tcPr>
            <w:tcW w:w="3078" w:type="dxa"/>
            <w:tcBorders>
              <w:top w:val="single" w:sz="4" w:space="0" w:color="auto"/>
              <w:bottom w:val="nil"/>
            </w:tcBorders>
          </w:tcPr>
          <w:p w:rsidR="009F745C" w:rsidRPr="009F745C" w:rsidRDefault="009F745C" w:rsidP="009F745C">
            <w:pPr>
              <w:pStyle w:val="Default"/>
              <w:jc w:val="both"/>
              <w:rPr>
                <w:rFonts w:ascii="Times New Roman" w:hAnsi="Times New Roman" w:cs="Times New Roman"/>
                <w:i/>
                <w:sz w:val="20"/>
                <w:szCs w:val="20"/>
              </w:rPr>
            </w:pPr>
            <w:r w:rsidRPr="009F745C">
              <w:rPr>
                <w:rFonts w:ascii="Times New Roman" w:hAnsi="Times New Roman" w:cs="Times New Roman"/>
                <w:bCs/>
                <w:i/>
                <w:sz w:val="20"/>
                <w:szCs w:val="20"/>
              </w:rPr>
              <w:t>European standard series</w:t>
            </w:r>
          </w:p>
        </w:tc>
        <w:tc>
          <w:tcPr>
            <w:tcW w:w="1440" w:type="dxa"/>
            <w:tcBorders>
              <w:top w:val="single" w:sz="4" w:space="0" w:color="auto"/>
              <w:bottom w:val="nil"/>
            </w:tcBorders>
          </w:tcPr>
          <w:p w:rsidR="009F745C" w:rsidRPr="009C20D8" w:rsidRDefault="009F745C" w:rsidP="007F56D2">
            <w:pPr>
              <w:pStyle w:val="Default"/>
              <w:jc w:val="both"/>
              <w:rPr>
                <w:rFonts w:ascii="Times New Roman" w:hAnsi="Times New Roman" w:cs="Times New Roman"/>
                <w:sz w:val="20"/>
                <w:szCs w:val="20"/>
              </w:rPr>
            </w:pPr>
          </w:p>
        </w:tc>
      </w:tr>
      <w:tr w:rsidR="00F42B18" w:rsidTr="009F745C">
        <w:tc>
          <w:tcPr>
            <w:tcW w:w="3078" w:type="dxa"/>
            <w:tcBorders>
              <w:top w:val="nil"/>
            </w:tcBorders>
          </w:tcPr>
          <w:p w:rsidR="00F42B18" w:rsidRDefault="00F42B18" w:rsidP="009F745C">
            <w:pPr>
              <w:pStyle w:val="Default"/>
              <w:ind w:left="144"/>
              <w:jc w:val="both"/>
              <w:rPr>
                <w:rFonts w:ascii="Times New Roman" w:hAnsi="Times New Roman" w:cs="Times New Roman"/>
                <w:b/>
                <w:bCs/>
                <w:sz w:val="20"/>
                <w:szCs w:val="20"/>
              </w:rPr>
            </w:pPr>
            <w:r w:rsidRPr="009C20D8">
              <w:rPr>
                <w:rFonts w:ascii="Times New Roman" w:hAnsi="Times New Roman" w:cs="Times New Roman"/>
                <w:sz w:val="20"/>
                <w:szCs w:val="20"/>
              </w:rPr>
              <w:t>Potassium dichromate</w:t>
            </w:r>
          </w:p>
        </w:tc>
        <w:tc>
          <w:tcPr>
            <w:tcW w:w="1440" w:type="dxa"/>
            <w:tcBorders>
              <w:top w:val="nil"/>
            </w:tcBorders>
          </w:tcPr>
          <w:p w:rsidR="00F42B18" w:rsidRDefault="00F42B18" w:rsidP="007F56D2">
            <w:pPr>
              <w:pStyle w:val="Default"/>
              <w:jc w:val="both"/>
              <w:rPr>
                <w:rFonts w:ascii="Times New Roman" w:hAnsi="Times New Roman" w:cs="Times New Roman"/>
                <w:b/>
                <w:bCs/>
                <w:sz w:val="20"/>
                <w:szCs w:val="20"/>
              </w:rPr>
            </w:pPr>
            <w:r w:rsidRPr="009C20D8">
              <w:rPr>
                <w:rFonts w:ascii="Times New Roman" w:hAnsi="Times New Roman" w:cs="Times New Roman"/>
                <w:sz w:val="20"/>
                <w:szCs w:val="20"/>
              </w:rPr>
              <w:t>21.0%</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Cobalt chloride</w:t>
            </w:r>
          </w:p>
        </w:tc>
        <w:tc>
          <w:tcPr>
            <w:tcW w:w="1440" w:type="dxa"/>
          </w:tcPr>
          <w:p w:rsidR="00F42B18" w:rsidRPr="009C20D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12.0%</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Nicke</w:t>
            </w:r>
            <w:r>
              <w:rPr>
                <w:rFonts w:ascii="Times New Roman" w:hAnsi="Times New Roman" w:cs="Times New Roman"/>
                <w:sz w:val="20"/>
                <w:szCs w:val="20"/>
              </w:rPr>
              <w:t>l</w:t>
            </w:r>
            <w:r w:rsidRPr="009C20D8">
              <w:rPr>
                <w:rFonts w:ascii="Times New Roman" w:hAnsi="Times New Roman" w:cs="Times New Roman"/>
                <w:sz w:val="20"/>
                <w:szCs w:val="20"/>
              </w:rPr>
              <w:t xml:space="preserve"> sulphate</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12.0%</w:t>
            </w:r>
          </w:p>
        </w:tc>
      </w:tr>
      <w:tr w:rsidR="00F42B18" w:rsidTr="00F42B18">
        <w:tc>
          <w:tcPr>
            <w:tcW w:w="3078" w:type="dxa"/>
          </w:tcPr>
          <w:p w:rsidR="00F42B18" w:rsidRPr="009C20D8" w:rsidRDefault="009F745C" w:rsidP="009F745C">
            <w:pPr>
              <w:pStyle w:val="Default"/>
              <w:ind w:left="144"/>
              <w:jc w:val="both"/>
              <w:rPr>
                <w:rFonts w:ascii="Times New Roman" w:hAnsi="Times New Roman" w:cs="Times New Roman"/>
                <w:sz w:val="20"/>
                <w:szCs w:val="20"/>
              </w:rPr>
            </w:pPr>
            <w:r>
              <w:rPr>
                <w:rFonts w:ascii="Times New Roman" w:hAnsi="Times New Roman" w:cs="Times New Roman"/>
                <w:sz w:val="20"/>
                <w:szCs w:val="20"/>
              </w:rPr>
              <w:t>Fra</w:t>
            </w:r>
            <w:r w:rsidR="00F42B18" w:rsidRPr="009C20D8">
              <w:rPr>
                <w:rFonts w:ascii="Times New Roman" w:hAnsi="Times New Roman" w:cs="Times New Roman"/>
                <w:sz w:val="20"/>
                <w:szCs w:val="20"/>
              </w:rPr>
              <w:t>grance mix</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6.7%</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Sesquiterpene lactone mix</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5.7%</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Fragrance mix II</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3.8%</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Thiuram mix</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2.9%</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Neomycin sulphate</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2.9%</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 xml:space="preserve">Colophony </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1.9%</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n-isopropyl-n-phenyl-4-phenylenediamine</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1.9%</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Benzocaine</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Wool alcohols</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Formaldehyde</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Cl+me-isothiazoline</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w:t>
            </w:r>
          </w:p>
        </w:tc>
      </w:tr>
      <w:tr w:rsidR="00F42B18" w:rsidTr="00F42B18">
        <w:tc>
          <w:tcPr>
            <w:tcW w:w="3078" w:type="dxa"/>
          </w:tcPr>
          <w:p w:rsidR="00F42B18" w:rsidRPr="009C20D8" w:rsidRDefault="00F42B18" w:rsidP="009F745C">
            <w:pPr>
              <w:pStyle w:val="Default"/>
              <w:ind w:left="144"/>
              <w:jc w:val="both"/>
              <w:rPr>
                <w:rFonts w:ascii="Times New Roman" w:hAnsi="Times New Roman" w:cs="Times New Roman"/>
                <w:sz w:val="20"/>
                <w:szCs w:val="20"/>
              </w:rPr>
            </w:pPr>
            <w:r w:rsidRPr="009C20D8">
              <w:rPr>
                <w:rFonts w:ascii="Times New Roman" w:hAnsi="Times New Roman" w:cs="Times New Roman"/>
                <w:sz w:val="20"/>
                <w:szCs w:val="20"/>
              </w:rPr>
              <w:t>Methyldibromoglutaronitrile</w:t>
            </w:r>
          </w:p>
        </w:tc>
        <w:tc>
          <w:tcPr>
            <w:tcW w:w="1440" w:type="dxa"/>
          </w:tcPr>
          <w:p w:rsidR="00F42B18" w:rsidRDefault="00F42B18" w:rsidP="007F56D2">
            <w:pPr>
              <w:pStyle w:val="Default"/>
              <w:jc w:val="both"/>
              <w:rPr>
                <w:rFonts w:ascii="Times New Roman" w:hAnsi="Times New Roman" w:cs="Times New Roman"/>
                <w:sz w:val="20"/>
                <w:szCs w:val="20"/>
              </w:rPr>
            </w:pPr>
            <w:r>
              <w:rPr>
                <w:rFonts w:ascii="Times New Roman" w:hAnsi="Times New Roman" w:cs="Times New Roman"/>
                <w:sz w:val="20"/>
                <w:szCs w:val="20"/>
              </w:rPr>
              <w:t>1%</w:t>
            </w:r>
          </w:p>
        </w:tc>
      </w:tr>
      <w:tr w:rsidR="009F745C" w:rsidTr="009F745C">
        <w:tc>
          <w:tcPr>
            <w:tcW w:w="3078" w:type="dxa"/>
            <w:tcBorders>
              <w:bottom w:val="nil"/>
            </w:tcBorders>
          </w:tcPr>
          <w:p w:rsidR="009F745C" w:rsidRPr="009F745C" w:rsidRDefault="009F745C" w:rsidP="009F745C">
            <w:pPr>
              <w:pStyle w:val="Default"/>
              <w:jc w:val="both"/>
              <w:rPr>
                <w:rFonts w:ascii="Times New Roman" w:hAnsi="Times New Roman" w:cs="Times New Roman"/>
                <w:i/>
                <w:sz w:val="20"/>
                <w:szCs w:val="20"/>
              </w:rPr>
            </w:pPr>
            <w:r w:rsidRPr="009F745C">
              <w:rPr>
                <w:rFonts w:ascii="Times New Roman" w:hAnsi="Times New Roman" w:cs="Times New Roman"/>
                <w:bCs/>
                <w:i/>
                <w:sz w:val="20"/>
                <w:szCs w:val="20"/>
              </w:rPr>
              <w:t>Corticosteroid series</w:t>
            </w:r>
          </w:p>
        </w:tc>
        <w:tc>
          <w:tcPr>
            <w:tcW w:w="1440" w:type="dxa"/>
            <w:tcBorders>
              <w:bottom w:val="nil"/>
            </w:tcBorders>
          </w:tcPr>
          <w:p w:rsidR="009F745C" w:rsidRDefault="009F745C" w:rsidP="007F56D2">
            <w:pPr>
              <w:pStyle w:val="Default"/>
              <w:jc w:val="both"/>
              <w:rPr>
                <w:rFonts w:ascii="Times New Roman" w:hAnsi="Times New Roman" w:cs="Times New Roman"/>
                <w:sz w:val="20"/>
                <w:szCs w:val="20"/>
              </w:rPr>
            </w:pPr>
          </w:p>
        </w:tc>
      </w:tr>
      <w:tr w:rsidR="009F745C" w:rsidTr="009F745C">
        <w:tc>
          <w:tcPr>
            <w:tcW w:w="3078" w:type="dxa"/>
            <w:tcBorders>
              <w:top w:val="nil"/>
              <w:bottom w:val="nil"/>
            </w:tcBorders>
          </w:tcPr>
          <w:p w:rsidR="009F745C" w:rsidRDefault="009F745C" w:rsidP="009F745C">
            <w:pPr>
              <w:ind w:left="144"/>
              <w:jc w:val="both"/>
              <w:rPr>
                <w:color w:val="000000"/>
                <w:sz w:val="20"/>
                <w:szCs w:val="20"/>
              </w:rPr>
            </w:pPr>
            <w:r w:rsidRPr="009C20D8">
              <w:rPr>
                <w:color w:val="000000"/>
                <w:sz w:val="20"/>
                <w:szCs w:val="20"/>
              </w:rPr>
              <w:t>Tixocortol-21-pivalate</w:t>
            </w:r>
          </w:p>
        </w:tc>
        <w:tc>
          <w:tcPr>
            <w:tcW w:w="1440" w:type="dxa"/>
            <w:tcBorders>
              <w:top w:val="nil"/>
              <w:bottom w:val="nil"/>
            </w:tcBorders>
          </w:tcPr>
          <w:p w:rsidR="009F745C" w:rsidRDefault="009F745C" w:rsidP="009F745C">
            <w:pPr>
              <w:jc w:val="both"/>
              <w:rPr>
                <w:color w:val="000000"/>
                <w:sz w:val="20"/>
                <w:szCs w:val="20"/>
              </w:rPr>
            </w:pPr>
            <w:r>
              <w:rPr>
                <w:color w:val="000000"/>
                <w:sz w:val="20"/>
                <w:szCs w:val="20"/>
              </w:rPr>
              <w:t>8.6%</w:t>
            </w:r>
          </w:p>
        </w:tc>
      </w:tr>
      <w:tr w:rsidR="009F745C" w:rsidTr="009F745C">
        <w:tc>
          <w:tcPr>
            <w:tcW w:w="3078" w:type="dxa"/>
            <w:tcBorders>
              <w:top w:val="nil"/>
              <w:bottom w:val="nil"/>
            </w:tcBorders>
          </w:tcPr>
          <w:p w:rsidR="009F745C" w:rsidRDefault="009F745C" w:rsidP="009F745C">
            <w:pPr>
              <w:ind w:left="144"/>
              <w:jc w:val="both"/>
              <w:rPr>
                <w:color w:val="000000"/>
                <w:sz w:val="20"/>
                <w:szCs w:val="20"/>
              </w:rPr>
            </w:pPr>
            <w:r w:rsidRPr="009C20D8">
              <w:rPr>
                <w:color w:val="000000"/>
                <w:sz w:val="20"/>
                <w:szCs w:val="20"/>
              </w:rPr>
              <w:t>H</w:t>
            </w:r>
            <w:r w:rsidRPr="009C20D8">
              <w:rPr>
                <w:sz w:val="20"/>
                <w:szCs w:val="20"/>
              </w:rPr>
              <w:t>ydrocortisone-17–butyrate</w:t>
            </w:r>
          </w:p>
        </w:tc>
        <w:tc>
          <w:tcPr>
            <w:tcW w:w="1440" w:type="dxa"/>
            <w:tcBorders>
              <w:top w:val="nil"/>
              <w:bottom w:val="nil"/>
            </w:tcBorders>
          </w:tcPr>
          <w:p w:rsidR="009F745C" w:rsidRDefault="009F745C" w:rsidP="009F745C">
            <w:pPr>
              <w:jc w:val="both"/>
              <w:rPr>
                <w:color w:val="000000"/>
                <w:sz w:val="20"/>
                <w:szCs w:val="20"/>
              </w:rPr>
            </w:pPr>
            <w:r>
              <w:rPr>
                <w:color w:val="000000"/>
                <w:sz w:val="20"/>
                <w:szCs w:val="20"/>
              </w:rPr>
              <w:t>4.7%</w:t>
            </w:r>
          </w:p>
        </w:tc>
      </w:tr>
      <w:tr w:rsidR="009F745C" w:rsidTr="009F745C">
        <w:tc>
          <w:tcPr>
            <w:tcW w:w="3078" w:type="dxa"/>
            <w:tcBorders>
              <w:top w:val="nil"/>
              <w:bottom w:val="nil"/>
            </w:tcBorders>
          </w:tcPr>
          <w:p w:rsidR="009F745C" w:rsidRPr="009C20D8" w:rsidRDefault="009F745C" w:rsidP="009F745C">
            <w:pPr>
              <w:ind w:left="144"/>
              <w:jc w:val="both"/>
              <w:rPr>
                <w:color w:val="000000"/>
                <w:sz w:val="20"/>
                <w:szCs w:val="20"/>
              </w:rPr>
            </w:pPr>
            <w:r w:rsidRPr="009C20D8">
              <w:rPr>
                <w:sz w:val="20"/>
                <w:szCs w:val="20"/>
              </w:rPr>
              <w:t>Budesonide</w:t>
            </w:r>
          </w:p>
        </w:tc>
        <w:tc>
          <w:tcPr>
            <w:tcW w:w="1440" w:type="dxa"/>
            <w:tcBorders>
              <w:top w:val="nil"/>
              <w:bottom w:val="nil"/>
            </w:tcBorders>
          </w:tcPr>
          <w:p w:rsidR="009F745C" w:rsidRDefault="009F745C" w:rsidP="009F745C">
            <w:pPr>
              <w:jc w:val="both"/>
              <w:rPr>
                <w:color w:val="000000"/>
                <w:sz w:val="20"/>
                <w:szCs w:val="20"/>
              </w:rPr>
            </w:pPr>
            <w:r w:rsidRPr="009C20D8">
              <w:rPr>
                <w:sz w:val="20"/>
                <w:szCs w:val="20"/>
              </w:rPr>
              <w:t>1.9%</w:t>
            </w:r>
          </w:p>
        </w:tc>
      </w:tr>
      <w:tr w:rsidR="009F745C" w:rsidRPr="009C20D8" w:rsidTr="009F745C">
        <w:tc>
          <w:tcPr>
            <w:tcW w:w="3078" w:type="dxa"/>
            <w:tcBorders>
              <w:top w:val="nil"/>
              <w:bottom w:val="nil"/>
            </w:tcBorders>
          </w:tcPr>
          <w:p w:rsidR="009F745C" w:rsidRPr="009C20D8" w:rsidRDefault="009F745C" w:rsidP="009F745C">
            <w:pPr>
              <w:ind w:left="144"/>
              <w:jc w:val="both"/>
              <w:rPr>
                <w:sz w:val="20"/>
                <w:szCs w:val="20"/>
              </w:rPr>
            </w:pPr>
            <w:r w:rsidRPr="009C20D8">
              <w:rPr>
                <w:sz w:val="20"/>
                <w:szCs w:val="20"/>
              </w:rPr>
              <w:t>Betamethasone-17-valerate</w:t>
            </w:r>
          </w:p>
        </w:tc>
        <w:tc>
          <w:tcPr>
            <w:tcW w:w="1440" w:type="dxa"/>
            <w:tcBorders>
              <w:top w:val="nil"/>
              <w:bottom w:val="nil"/>
            </w:tcBorders>
          </w:tcPr>
          <w:p w:rsidR="009F745C" w:rsidRPr="009C20D8" w:rsidRDefault="009F745C" w:rsidP="009F745C">
            <w:pPr>
              <w:jc w:val="both"/>
              <w:rPr>
                <w:sz w:val="20"/>
                <w:szCs w:val="20"/>
              </w:rPr>
            </w:pPr>
            <w:r w:rsidRPr="009C20D8">
              <w:rPr>
                <w:sz w:val="20"/>
                <w:szCs w:val="20"/>
              </w:rPr>
              <w:t>1.0%</w:t>
            </w:r>
          </w:p>
        </w:tc>
      </w:tr>
      <w:tr w:rsidR="009F745C" w:rsidRPr="009C20D8" w:rsidTr="009F745C">
        <w:tc>
          <w:tcPr>
            <w:tcW w:w="3078" w:type="dxa"/>
            <w:tcBorders>
              <w:top w:val="nil"/>
              <w:bottom w:val="single" w:sz="4" w:space="0" w:color="auto"/>
            </w:tcBorders>
          </w:tcPr>
          <w:p w:rsidR="009F745C" w:rsidRPr="009C20D8" w:rsidRDefault="009F745C" w:rsidP="009F745C">
            <w:pPr>
              <w:ind w:left="144"/>
              <w:jc w:val="both"/>
              <w:rPr>
                <w:sz w:val="20"/>
                <w:szCs w:val="20"/>
              </w:rPr>
            </w:pPr>
            <w:r w:rsidRPr="009C20D8">
              <w:rPr>
                <w:sz w:val="20"/>
                <w:szCs w:val="20"/>
              </w:rPr>
              <w:t>Clobetasole-17-propionate</w:t>
            </w:r>
          </w:p>
        </w:tc>
        <w:tc>
          <w:tcPr>
            <w:tcW w:w="1440" w:type="dxa"/>
            <w:tcBorders>
              <w:top w:val="nil"/>
              <w:bottom w:val="single" w:sz="4" w:space="0" w:color="auto"/>
            </w:tcBorders>
          </w:tcPr>
          <w:p w:rsidR="009F745C" w:rsidRPr="009C20D8" w:rsidRDefault="009F745C" w:rsidP="009F745C">
            <w:pPr>
              <w:jc w:val="both"/>
              <w:rPr>
                <w:sz w:val="20"/>
                <w:szCs w:val="20"/>
              </w:rPr>
            </w:pPr>
            <w:r>
              <w:rPr>
                <w:sz w:val="20"/>
                <w:szCs w:val="20"/>
              </w:rPr>
              <w:t>1.9%</w:t>
            </w:r>
          </w:p>
        </w:tc>
      </w:tr>
    </w:tbl>
    <w:p w:rsidR="00F42B18" w:rsidRDefault="00F42B18" w:rsidP="00F42B18">
      <w:pPr>
        <w:pStyle w:val="Default"/>
        <w:jc w:val="both"/>
        <w:rPr>
          <w:rFonts w:ascii="Times New Roman" w:hAnsi="Times New Roman" w:cs="Times New Roman"/>
          <w:b/>
          <w:sz w:val="20"/>
          <w:szCs w:val="20"/>
        </w:rPr>
      </w:pPr>
    </w:p>
    <w:p w:rsidR="00F42B18" w:rsidRPr="00036D61" w:rsidRDefault="00F42B18" w:rsidP="00F42B18">
      <w:pPr>
        <w:pStyle w:val="Default"/>
        <w:rPr>
          <w:rFonts w:ascii="Times New Roman" w:hAnsi="Times New Roman" w:cs="Times New Roman"/>
          <w:bCs/>
          <w:sz w:val="20"/>
          <w:szCs w:val="20"/>
        </w:rPr>
      </w:pPr>
      <w:r w:rsidRPr="009C20D8">
        <w:rPr>
          <w:rFonts w:ascii="Times New Roman" w:hAnsi="Times New Roman" w:cs="Times New Roman"/>
          <w:b/>
          <w:sz w:val="20"/>
          <w:szCs w:val="20"/>
        </w:rPr>
        <w:t xml:space="preserve">Table </w:t>
      </w:r>
      <w:r w:rsidR="009F745C">
        <w:rPr>
          <w:rFonts w:ascii="Times New Roman" w:hAnsi="Times New Roman" w:cs="Times New Roman"/>
          <w:b/>
          <w:sz w:val="20"/>
          <w:szCs w:val="20"/>
        </w:rPr>
        <w:t>3</w:t>
      </w:r>
      <w:r>
        <w:rPr>
          <w:rFonts w:ascii="Times New Roman" w:hAnsi="Times New Roman" w:cs="Times New Roman"/>
          <w:b/>
          <w:sz w:val="20"/>
          <w:szCs w:val="20"/>
        </w:rPr>
        <w:t xml:space="preserve"> </w:t>
      </w:r>
      <w:r>
        <w:rPr>
          <w:rFonts w:ascii="Times New Roman" w:hAnsi="Times New Roman" w:cs="Times New Roman"/>
          <w:bCs/>
          <w:sz w:val="20"/>
          <w:szCs w:val="20"/>
        </w:rPr>
        <w:t>P</w:t>
      </w:r>
      <w:r w:rsidRPr="00036D61">
        <w:rPr>
          <w:rFonts w:ascii="Times New Roman" w:hAnsi="Times New Roman" w:cs="Times New Roman"/>
          <w:bCs/>
          <w:sz w:val="20"/>
          <w:szCs w:val="20"/>
        </w:rPr>
        <w:t>atients with different occupations showing positive results (n=105).</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8"/>
        <w:gridCol w:w="1080"/>
        <w:gridCol w:w="1098"/>
      </w:tblGrid>
      <w:tr w:rsidR="00F42B18" w:rsidRPr="00EB5D7C" w:rsidTr="00F42B18">
        <w:tc>
          <w:tcPr>
            <w:tcW w:w="2358" w:type="dxa"/>
            <w:tcBorders>
              <w:top w:val="single" w:sz="4" w:space="0" w:color="auto"/>
              <w:bottom w:val="single" w:sz="4" w:space="0" w:color="auto"/>
            </w:tcBorders>
          </w:tcPr>
          <w:p w:rsidR="00F42B18" w:rsidRPr="00F42B18" w:rsidRDefault="00F42B18" w:rsidP="007F56D2">
            <w:pPr>
              <w:tabs>
                <w:tab w:val="center" w:pos="4060"/>
              </w:tabs>
              <w:autoSpaceDE w:val="0"/>
              <w:autoSpaceDN w:val="0"/>
              <w:adjustRightInd w:val="0"/>
              <w:rPr>
                <w:b/>
                <w:bCs/>
                <w:i/>
                <w:color w:val="000000"/>
                <w:sz w:val="20"/>
                <w:szCs w:val="20"/>
              </w:rPr>
            </w:pPr>
            <w:r w:rsidRPr="00F42B18">
              <w:rPr>
                <w:i/>
                <w:sz w:val="20"/>
              </w:rPr>
              <w:t>Occupations</w:t>
            </w:r>
            <w:r w:rsidR="00096938">
              <w:rPr>
                <w:i/>
                <w:sz w:val="20"/>
              </w:rPr>
              <w:t xml:space="preserve"> (n)</w:t>
            </w:r>
          </w:p>
        </w:tc>
        <w:tc>
          <w:tcPr>
            <w:tcW w:w="1080" w:type="dxa"/>
            <w:tcBorders>
              <w:top w:val="single" w:sz="4" w:space="0" w:color="auto"/>
              <w:bottom w:val="single" w:sz="4" w:space="0" w:color="auto"/>
            </w:tcBorders>
          </w:tcPr>
          <w:p w:rsidR="00F42B18" w:rsidRDefault="00F42B18" w:rsidP="00F42B18">
            <w:pPr>
              <w:tabs>
                <w:tab w:val="center" w:pos="4060"/>
              </w:tabs>
              <w:autoSpaceDE w:val="0"/>
              <w:autoSpaceDN w:val="0"/>
              <w:adjustRightInd w:val="0"/>
              <w:rPr>
                <w:i/>
                <w:sz w:val="20"/>
              </w:rPr>
            </w:pPr>
            <w:r w:rsidRPr="00F42B18">
              <w:rPr>
                <w:i/>
                <w:sz w:val="20"/>
              </w:rPr>
              <w:t>ESS</w:t>
            </w:r>
          </w:p>
          <w:p w:rsidR="00F42B18" w:rsidRPr="00F42B18" w:rsidRDefault="00F42B18" w:rsidP="00F42B18">
            <w:pPr>
              <w:tabs>
                <w:tab w:val="center" w:pos="4060"/>
              </w:tabs>
              <w:autoSpaceDE w:val="0"/>
              <w:autoSpaceDN w:val="0"/>
              <w:adjustRightInd w:val="0"/>
              <w:rPr>
                <w:b/>
                <w:bCs/>
                <w:i/>
                <w:color w:val="000000"/>
                <w:sz w:val="20"/>
                <w:szCs w:val="20"/>
              </w:rPr>
            </w:pPr>
            <w:r>
              <w:rPr>
                <w:i/>
                <w:sz w:val="20"/>
              </w:rPr>
              <w:t>N (%)</w:t>
            </w:r>
          </w:p>
        </w:tc>
        <w:tc>
          <w:tcPr>
            <w:tcW w:w="1098" w:type="dxa"/>
            <w:tcBorders>
              <w:top w:val="single" w:sz="4" w:space="0" w:color="auto"/>
              <w:bottom w:val="single" w:sz="4" w:space="0" w:color="auto"/>
            </w:tcBorders>
          </w:tcPr>
          <w:p w:rsidR="00F42B18" w:rsidRDefault="00F42B18" w:rsidP="00F42B18">
            <w:pPr>
              <w:tabs>
                <w:tab w:val="center" w:pos="4060"/>
              </w:tabs>
              <w:autoSpaceDE w:val="0"/>
              <w:autoSpaceDN w:val="0"/>
              <w:adjustRightInd w:val="0"/>
              <w:rPr>
                <w:i/>
                <w:sz w:val="20"/>
              </w:rPr>
            </w:pPr>
            <w:r w:rsidRPr="00F42B18">
              <w:rPr>
                <w:i/>
                <w:sz w:val="20"/>
              </w:rPr>
              <w:t>C</w:t>
            </w:r>
            <w:r>
              <w:rPr>
                <w:i/>
                <w:sz w:val="20"/>
              </w:rPr>
              <w:t>S</w:t>
            </w:r>
          </w:p>
          <w:p w:rsidR="00F42B18" w:rsidRPr="00F42B18" w:rsidRDefault="00F42B18" w:rsidP="00F42B18">
            <w:pPr>
              <w:tabs>
                <w:tab w:val="center" w:pos="4060"/>
              </w:tabs>
              <w:autoSpaceDE w:val="0"/>
              <w:autoSpaceDN w:val="0"/>
              <w:adjustRightInd w:val="0"/>
              <w:rPr>
                <w:b/>
                <w:bCs/>
                <w:i/>
                <w:color w:val="000000"/>
                <w:sz w:val="20"/>
                <w:szCs w:val="20"/>
              </w:rPr>
            </w:pPr>
            <w:r>
              <w:rPr>
                <w:i/>
                <w:sz w:val="20"/>
              </w:rPr>
              <w:t>N (%)</w:t>
            </w:r>
          </w:p>
        </w:tc>
      </w:tr>
      <w:tr w:rsidR="00F42B18" w:rsidTr="00F42B18">
        <w:tc>
          <w:tcPr>
            <w:tcW w:w="2358" w:type="dxa"/>
            <w:tcBorders>
              <w:top w:val="single" w:sz="4" w:space="0" w:color="auto"/>
            </w:tcBorders>
          </w:tcPr>
          <w:p w:rsidR="00F42B18" w:rsidRDefault="00F42B18" w:rsidP="007F56D2">
            <w:pPr>
              <w:tabs>
                <w:tab w:val="center" w:pos="4060"/>
              </w:tabs>
              <w:autoSpaceDE w:val="0"/>
              <w:autoSpaceDN w:val="0"/>
              <w:adjustRightInd w:val="0"/>
              <w:rPr>
                <w:b/>
                <w:bCs/>
                <w:color w:val="000000"/>
                <w:sz w:val="20"/>
                <w:szCs w:val="20"/>
              </w:rPr>
            </w:pPr>
            <w:r w:rsidRPr="009C20D8">
              <w:rPr>
                <w:color w:val="000000"/>
                <w:sz w:val="20"/>
                <w:szCs w:val="20"/>
              </w:rPr>
              <w:t>Laborers</w:t>
            </w:r>
            <w:r>
              <w:rPr>
                <w:color w:val="000000"/>
                <w:sz w:val="20"/>
                <w:szCs w:val="20"/>
              </w:rPr>
              <w:t xml:space="preserve"> </w:t>
            </w:r>
            <w:r w:rsidRPr="009C20D8">
              <w:rPr>
                <w:color w:val="000000"/>
                <w:sz w:val="20"/>
                <w:szCs w:val="20"/>
              </w:rPr>
              <w:t>(24)</w:t>
            </w:r>
          </w:p>
        </w:tc>
        <w:tc>
          <w:tcPr>
            <w:tcW w:w="1080" w:type="dxa"/>
            <w:tcBorders>
              <w:top w:val="single" w:sz="4" w:space="0" w:color="auto"/>
            </w:tcBorders>
          </w:tcPr>
          <w:p w:rsidR="00F42B18" w:rsidRDefault="00F42B18" w:rsidP="007F56D2">
            <w:pPr>
              <w:tabs>
                <w:tab w:val="center" w:pos="4060"/>
              </w:tabs>
              <w:autoSpaceDE w:val="0"/>
              <w:autoSpaceDN w:val="0"/>
              <w:adjustRightInd w:val="0"/>
              <w:rPr>
                <w:b/>
                <w:bCs/>
                <w:color w:val="000000"/>
                <w:sz w:val="20"/>
                <w:szCs w:val="20"/>
              </w:rPr>
            </w:pPr>
            <w:r w:rsidRPr="009C20D8">
              <w:rPr>
                <w:color w:val="000000"/>
                <w:sz w:val="20"/>
                <w:szCs w:val="20"/>
              </w:rPr>
              <w:t>16</w:t>
            </w:r>
          </w:p>
        </w:tc>
        <w:tc>
          <w:tcPr>
            <w:tcW w:w="1098" w:type="dxa"/>
            <w:tcBorders>
              <w:top w:val="single" w:sz="4" w:space="0" w:color="auto"/>
            </w:tcBorders>
          </w:tcPr>
          <w:p w:rsidR="00F42B18" w:rsidRDefault="00F42B18" w:rsidP="007F56D2">
            <w:pPr>
              <w:tabs>
                <w:tab w:val="center" w:pos="4060"/>
              </w:tabs>
              <w:autoSpaceDE w:val="0"/>
              <w:autoSpaceDN w:val="0"/>
              <w:adjustRightInd w:val="0"/>
              <w:rPr>
                <w:b/>
                <w:bCs/>
                <w:color w:val="000000"/>
                <w:sz w:val="20"/>
                <w:szCs w:val="20"/>
              </w:rPr>
            </w:pPr>
            <w:r w:rsidRPr="009C20D8">
              <w:rPr>
                <w:color w:val="000000"/>
                <w:sz w:val="20"/>
                <w:szCs w:val="20"/>
              </w:rPr>
              <w:t>4</w:t>
            </w:r>
            <w:r>
              <w:rPr>
                <w:color w:val="000000"/>
                <w:sz w:val="20"/>
                <w:szCs w:val="20"/>
              </w:rPr>
              <w:t xml:space="preserve"> </w:t>
            </w:r>
          </w:p>
        </w:tc>
      </w:tr>
      <w:tr w:rsidR="00F42B18" w:rsidTr="00F42B18">
        <w:tc>
          <w:tcPr>
            <w:tcW w:w="2358" w:type="dxa"/>
          </w:tcPr>
          <w:p w:rsidR="00F42B18" w:rsidRPr="009C20D8" w:rsidRDefault="00F42B18" w:rsidP="007F56D2">
            <w:pPr>
              <w:tabs>
                <w:tab w:val="center" w:pos="4060"/>
              </w:tabs>
              <w:autoSpaceDE w:val="0"/>
              <w:autoSpaceDN w:val="0"/>
              <w:adjustRightInd w:val="0"/>
              <w:rPr>
                <w:color w:val="000000"/>
                <w:sz w:val="20"/>
                <w:szCs w:val="20"/>
              </w:rPr>
            </w:pPr>
            <w:r w:rsidRPr="009C20D8">
              <w:rPr>
                <w:color w:val="000000"/>
                <w:sz w:val="20"/>
                <w:szCs w:val="20"/>
              </w:rPr>
              <w:t>Students (33)</w:t>
            </w:r>
          </w:p>
        </w:tc>
        <w:tc>
          <w:tcPr>
            <w:tcW w:w="1080" w:type="dxa"/>
          </w:tcPr>
          <w:p w:rsidR="00F42B18" w:rsidRPr="009C20D8" w:rsidRDefault="00F42B18" w:rsidP="007F56D2">
            <w:pPr>
              <w:tabs>
                <w:tab w:val="center" w:pos="4060"/>
              </w:tabs>
              <w:autoSpaceDE w:val="0"/>
              <w:autoSpaceDN w:val="0"/>
              <w:adjustRightInd w:val="0"/>
              <w:rPr>
                <w:color w:val="000000"/>
                <w:sz w:val="20"/>
                <w:szCs w:val="20"/>
              </w:rPr>
            </w:pPr>
            <w:r>
              <w:rPr>
                <w:color w:val="000000"/>
                <w:sz w:val="20"/>
                <w:szCs w:val="20"/>
              </w:rPr>
              <w:t>12</w:t>
            </w:r>
          </w:p>
        </w:tc>
        <w:tc>
          <w:tcPr>
            <w:tcW w:w="1098" w:type="dxa"/>
          </w:tcPr>
          <w:p w:rsidR="00F42B18" w:rsidRPr="009C20D8" w:rsidRDefault="00F42B18" w:rsidP="007F56D2">
            <w:pPr>
              <w:tabs>
                <w:tab w:val="center" w:pos="4060"/>
              </w:tabs>
              <w:autoSpaceDE w:val="0"/>
              <w:autoSpaceDN w:val="0"/>
              <w:adjustRightInd w:val="0"/>
              <w:rPr>
                <w:color w:val="000000"/>
                <w:sz w:val="20"/>
                <w:szCs w:val="20"/>
              </w:rPr>
            </w:pPr>
            <w:r>
              <w:rPr>
                <w:color w:val="000000"/>
                <w:sz w:val="20"/>
                <w:szCs w:val="20"/>
              </w:rPr>
              <w:t>3</w:t>
            </w:r>
          </w:p>
        </w:tc>
      </w:tr>
      <w:tr w:rsidR="00F42B18" w:rsidTr="00F42B18">
        <w:tc>
          <w:tcPr>
            <w:tcW w:w="2358" w:type="dxa"/>
          </w:tcPr>
          <w:p w:rsidR="00F42B18" w:rsidRPr="009C20D8" w:rsidRDefault="00F42B18" w:rsidP="007F56D2">
            <w:pPr>
              <w:tabs>
                <w:tab w:val="center" w:pos="4060"/>
              </w:tabs>
              <w:autoSpaceDE w:val="0"/>
              <w:autoSpaceDN w:val="0"/>
              <w:adjustRightInd w:val="0"/>
              <w:rPr>
                <w:color w:val="000000"/>
                <w:sz w:val="20"/>
                <w:szCs w:val="20"/>
              </w:rPr>
            </w:pPr>
            <w:r w:rsidRPr="009C20D8">
              <w:rPr>
                <w:color w:val="000000"/>
                <w:sz w:val="20"/>
                <w:szCs w:val="20"/>
              </w:rPr>
              <w:t>Housewives (22)</w:t>
            </w:r>
          </w:p>
        </w:tc>
        <w:tc>
          <w:tcPr>
            <w:tcW w:w="1080"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10</w:t>
            </w:r>
          </w:p>
        </w:tc>
        <w:tc>
          <w:tcPr>
            <w:tcW w:w="1098"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2</w:t>
            </w:r>
          </w:p>
        </w:tc>
      </w:tr>
      <w:tr w:rsidR="00F42B18" w:rsidTr="00F42B18">
        <w:tc>
          <w:tcPr>
            <w:tcW w:w="2358" w:type="dxa"/>
          </w:tcPr>
          <w:p w:rsidR="00F42B18" w:rsidRPr="009C20D8" w:rsidRDefault="00F42B18" w:rsidP="007F56D2">
            <w:pPr>
              <w:tabs>
                <w:tab w:val="center" w:pos="4060"/>
              </w:tabs>
              <w:autoSpaceDE w:val="0"/>
              <w:autoSpaceDN w:val="0"/>
              <w:adjustRightInd w:val="0"/>
              <w:rPr>
                <w:color w:val="000000"/>
                <w:sz w:val="20"/>
                <w:szCs w:val="20"/>
              </w:rPr>
            </w:pPr>
            <w:r w:rsidRPr="009C20D8">
              <w:rPr>
                <w:color w:val="000000"/>
                <w:sz w:val="20"/>
                <w:szCs w:val="20"/>
              </w:rPr>
              <w:t>Office workers (17)</w:t>
            </w:r>
          </w:p>
        </w:tc>
        <w:tc>
          <w:tcPr>
            <w:tcW w:w="1080"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10</w:t>
            </w:r>
          </w:p>
        </w:tc>
        <w:tc>
          <w:tcPr>
            <w:tcW w:w="1098"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2</w:t>
            </w:r>
          </w:p>
        </w:tc>
      </w:tr>
      <w:tr w:rsidR="00F42B18" w:rsidTr="00F42B18">
        <w:tc>
          <w:tcPr>
            <w:tcW w:w="2358" w:type="dxa"/>
          </w:tcPr>
          <w:p w:rsidR="00F42B18" w:rsidRPr="009C20D8" w:rsidRDefault="00F42B18" w:rsidP="007F56D2">
            <w:pPr>
              <w:tabs>
                <w:tab w:val="center" w:pos="4060"/>
              </w:tabs>
              <w:autoSpaceDE w:val="0"/>
              <w:autoSpaceDN w:val="0"/>
              <w:adjustRightInd w:val="0"/>
              <w:rPr>
                <w:color w:val="000000"/>
                <w:sz w:val="20"/>
                <w:szCs w:val="20"/>
              </w:rPr>
            </w:pPr>
            <w:r w:rsidRPr="009C20D8">
              <w:rPr>
                <w:color w:val="000000"/>
                <w:sz w:val="20"/>
                <w:szCs w:val="20"/>
              </w:rPr>
              <w:t>Technicians (9)</w:t>
            </w:r>
          </w:p>
        </w:tc>
        <w:tc>
          <w:tcPr>
            <w:tcW w:w="1080"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3</w:t>
            </w:r>
          </w:p>
        </w:tc>
        <w:tc>
          <w:tcPr>
            <w:tcW w:w="1098"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1</w:t>
            </w:r>
          </w:p>
        </w:tc>
      </w:tr>
      <w:tr w:rsidR="00F42B18" w:rsidTr="00F42B18">
        <w:tc>
          <w:tcPr>
            <w:tcW w:w="2358" w:type="dxa"/>
          </w:tcPr>
          <w:p w:rsidR="00F42B18" w:rsidRPr="009C20D8" w:rsidRDefault="00F42B18" w:rsidP="007F56D2">
            <w:pPr>
              <w:tabs>
                <w:tab w:val="center" w:pos="4060"/>
              </w:tabs>
              <w:autoSpaceDE w:val="0"/>
              <w:autoSpaceDN w:val="0"/>
              <w:adjustRightInd w:val="0"/>
              <w:rPr>
                <w:color w:val="000000"/>
                <w:sz w:val="20"/>
                <w:szCs w:val="20"/>
              </w:rPr>
            </w:pPr>
            <w:r>
              <w:rPr>
                <w:color w:val="000000"/>
                <w:sz w:val="20"/>
                <w:szCs w:val="20"/>
              </w:rPr>
              <w:t>Total</w:t>
            </w:r>
          </w:p>
        </w:tc>
        <w:tc>
          <w:tcPr>
            <w:tcW w:w="1080"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51</w:t>
            </w:r>
          </w:p>
        </w:tc>
        <w:tc>
          <w:tcPr>
            <w:tcW w:w="1098" w:type="dxa"/>
          </w:tcPr>
          <w:p w:rsidR="00F42B18" w:rsidRDefault="00F42B18" w:rsidP="007F56D2">
            <w:pPr>
              <w:tabs>
                <w:tab w:val="center" w:pos="4060"/>
              </w:tabs>
              <w:autoSpaceDE w:val="0"/>
              <w:autoSpaceDN w:val="0"/>
              <w:adjustRightInd w:val="0"/>
              <w:rPr>
                <w:color w:val="000000"/>
                <w:sz w:val="20"/>
                <w:szCs w:val="20"/>
              </w:rPr>
            </w:pPr>
            <w:r>
              <w:rPr>
                <w:color w:val="000000"/>
                <w:sz w:val="20"/>
                <w:szCs w:val="20"/>
              </w:rPr>
              <w:t>12</w:t>
            </w:r>
          </w:p>
        </w:tc>
      </w:tr>
    </w:tbl>
    <w:p w:rsidR="00F42B18" w:rsidRPr="009C20D8" w:rsidRDefault="00F42B18" w:rsidP="00F42B18">
      <w:pPr>
        <w:tabs>
          <w:tab w:val="left" w:pos="3240"/>
          <w:tab w:val="left" w:pos="6120"/>
        </w:tabs>
        <w:autoSpaceDE w:val="0"/>
        <w:autoSpaceDN w:val="0"/>
        <w:adjustRightInd w:val="0"/>
        <w:ind w:right="360"/>
        <w:jc w:val="both"/>
        <w:rPr>
          <w:sz w:val="20"/>
          <w:szCs w:val="20"/>
        </w:rPr>
      </w:pPr>
      <w:r>
        <w:rPr>
          <w:sz w:val="20"/>
          <w:szCs w:val="20"/>
        </w:rPr>
        <w:t>CS= Corticosteroid series, ESS= European standard series.</w:t>
      </w:r>
    </w:p>
    <w:p w:rsidR="00D143AB" w:rsidRPr="000D0C55" w:rsidRDefault="00F42B18" w:rsidP="000D0C55">
      <w:pPr>
        <w:pStyle w:val="BodyText"/>
        <w:spacing w:before="100" w:beforeAutospacing="1" w:after="100" w:afterAutospacing="1" w:line="288" w:lineRule="auto"/>
        <w:rPr>
          <w:sz w:val="22"/>
          <w:szCs w:val="22"/>
        </w:rPr>
      </w:pPr>
      <w:r w:rsidRPr="000D0C55">
        <w:rPr>
          <w:sz w:val="22"/>
          <w:szCs w:val="22"/>
        </w:rPr>
        <w:t>The sex and frequency of contact dermatitis with European standard and corticosteroid series being qualitative variables were expressed in percentages.</w:t>
      </w:r>
      <w:r>
        <w:rPr>
          <w:sz w:val="22"/>
          <w:szCs w:val="22"/>
        </w:rPr>
        <w:t xml:space="preserve"> </w:t>
      </w:r>
      <w:r w:rsidR="00E943B2" w:rsidRPr="000D0C55">
        <w:rPr>
          <w:sz w:val="22"/>
          <w:szCs w:val="22"/>
        </w:rPr>
        <w:t>Other variables as most common allergen</w:t>
      </w:r>
      <w:r w:rsidR="00D143AB" w:rsidRPr="000D0C55">
        <w:rPr>
          <w:sz w:val="22"/>
          <w:szCs w:val="22"/>
        </w:rPr>
        <w:t xml:space="preserve"> </w:t>
      </w:r>
      <w:r w:rsidR="00E943B2" w:rsidRPr="000D0C55">
        <w:rPr>
          <w:sz w:val="22"/>
          <w:szCs w:val="22"/>
        </w:rPr>
        <w:t>of European standard and corticosteroid series were also noted.</w:t>
      </w:r>
    </w:p>
    <w:p w:rsidR="009F1FC6" w:rsidRPr="000D0C55" w:rsidRDefault="000D0C55" w:rsidP="000D0C55">
      <w:pPr>
        <w:pStyle w:val="BodyText"/>
        <w:spacing w:before="100" w:beforeAutospacing="1" w:after="100" w:afterAutospacing="1" w:line="288" w:lineRule="auto"/>
        <w:rPr>
          <w:sz w:val="22"/>
          <w:szCs w:val="22"/>
        </w:rPr>
      </w:pPr>
      <w:r w:rsidRPr="000D0C55">
        <w:rPr>
          <w:b/>
          <w:bCs/>
          <w:sz w:val="22"/>
          <w:szCs w:val="22"/>
        </w:rPr>
        <w:t>Results</w:t>
      </w:r>
    </w:p>
    <w:p w:rsidR="009F1FC6" w:rsidRPr="000D0C55" w:rsidRDefault="009F1FC6" w:rsidP="000D0C55">
      <w:pPr>
        <w:spacing w:before="100" w:beforeAutospacing="1" w:after="100" w:afterAutospacing="1" w:line="288" w:lineRule="auto"/>
        <w:jc w:val="both"/>
        <w:rPr>
          <w:sz w:val="22"/>
          <w:szCs w:val="22"/>
        </w:rPr>
      </w:pPr>
      <w:r w:rsidRPr="000D0C55">
        <w:rPr>
          <w:sz w:val="22"/>
          <w:szCs w:val="22"/>
        </w:rPr>
        <w:t xml:space="preserve">Study was conducted on 105 patients. Fifty eight (55.2%) were males and 47 (44.8%) were </w:t>
      </w:r>
      <w:r w:rsidRPr="000D0C55">
        <w:rPr>
          <w:sz w:val="22"/>
          <w:szCs w:val="22"/>
        </w:rPr>
        <w:lastRenderedPageBreak/>
        <w:t>females. Male to female ratio was 1.23</w:t>
      </w:r>
      <w:r w:rsidR="009F745C">
        <w:rPr>
          <w:sz w:val="22"/>
          <w:szCs w:val="22"/>
        </w:rPr>
        <w:t>:1. The youngest patient was 14-</w:t>
      </w:r>
      <w:r w:rsidRPr="000D0C55">
        <w:rPr>
          <w:sz w:val="22"/>
          <w:szCs w:val="22"/>
        </w:rPr>
        <w:t>year</w:t>
      </w:r>
      <w:r w:rsidR="009F745C">
        <w:rPr>
          <w:sz w:val="22"/>
          <w:szCs w:val="22"/>
        </w:rPr>
        <w:t>-</w:t>
      </w:r>
      <w:r w:rsidRPr="000D0C55">
        <w:rPr>
          <w:sz w:val="22"/>
          <w:szCs w:val="22"/>
        </w:rPr>
        <w:t>old a</w:t>
      </w:r>
      <w:r w:rsidR="009F745C">
        <w:rPr>
          <w:sz w:val="22"/>
          <w:szCs w:val="22"/>
        </w:rPr>
        <w:t>nd the oldest was 70-year-</w:t>
      </w:r>
      <w:r w:rsidRPr="000D0C55">
        <w:rPr>
          <w:sz w:val="22"/>
          <w:szCs w:val="22"/>
        </w:rPr>
        <w:t>old. Mean age of presentation of females was 25.8 years and of males was 34.5 years</w:t>
      </w:r>
      <w:r w:rsidR="00817353" w:rsidRPr="000D0C55">
        <w:rPr>
          <w:sz w:val="22"/>
          <w:szCs w:val="22"/>
        </w:rPr>
        <w:t>.</w:t>
      </w:r>
      <w:r w:rsidRPr="000D0C55">
        <w:rPr>
          <w:sz w:val="22"/>
          <w:szCs w:val="22"/>
        </w:rPr>
        <w:t xml:space="preserve"> </w:t>
      </w:r>
      <w:r w:rsidR="009F745C" w:rsidRPr="000D0C55">
        <w:rPr>
          <w:sz w:val="22"/>
          <w:szCs w:val="22"/>
        </w:rPr>
        <w:t>Out of 105 patients who presented to us with hand eczema, 33 were students, 24 laborers, 22 housewives, 17 office workers and 9 technicians.</w:t>
      </w:r>
      <w:r w:rsidR="009F745C">
        <w:rPr>
          <w:sz w:val="22"/>
          <w:szCs w:val="22"/>
        </w:rPr>
        <w:t xml:space="preserve"> </w:t>
      </w:r>
      <w:r w:rsidR="009F745C" w:rsidRPr="000D0C55">
        <w:rPr>
          <w:sz w:val="22"/>
          <w:szCs w:val="22"/>
        </w:rPr>
        <w:t xml:space="preserve">Most common presentations were of discoid eczema and </w:t>
      </w:r>
      <w:r w:rsidR="003B2C9B" w:rsidRPr="000D0C55">
        <w:rPr>
          <w:sz w:val="22"/>
          <w:szCs w:val="22"/>
        </w:rPr>
        <w:t>pom</w:t>
      </w:r>
      <w:r w:rsidR="003B2C9B">
        <w:rPr>
          <w:sz w:val="22"/>
          <w:szCs w:val="22"/>
        </w:rPr>
        <w:t>p</w:t>
      </w:r>
      <w:r w:rsidR="003B2C9B" w:rsidRPr="000D0C55">
        <w:rPr>
          <w:sz w:val="22"/>
          <w:szCs w:val="22"/>
        </w:rPr>
        <w:t>holyx</w:t>
      </w:r>
      <w:r w:rsidR="009F745C">
        <w:rPr>
          <w:sz w:val="22"/>
          <w:szCs w:val="22"/>
        </w:rPr>
        <w:t>. Next in frequency were finger</w:t>
      </w:r>
      <w:r w:rsidR="009F745C" w:rsidRPr="000D0C55">
        <w:rPr>
          <w:sz w:val="22"/>
          <w:szCs w:val="22"/>
        </w:rPr>
        <w:t>tip and dry palmar type of eczema.</w:t>
      </w:r>
    </w:p>
    <w:p w:rsidR="009F1FC6" w:rsidRPr="000D0C55" w:rsidRDefault="009F1FC6" w:rsidP="000D0C55">
      <w:pPr>
        <w:spacing w:before="100" w:beforeAutospacing="1" w:after="100" w:afterAutospacing="1" w:line="288" w:lineRule="auto"/>
        <w:jc w:val="both"/>
        <w:rPr>
          <w:sz w:val="22"/>
          <w:szCs w:val="22"/>
        </w:rPr>
      </w:pPr>
      <w:r w:rsidRPr="000D0C55">
        <w:rPr>
          <w:sz w:val="22"/>
          <w:szCs w:val="22"/>
        </w:rPr>
        <w:t>Allergic reactions were recorded in 48.6% of patients with European standard series and 11.4% of patients with corticosteroid series.</w:t>
      </w:r>
      <w:r w:rsidR="009F745C">
        <w:rPr>
          <w:sz w:val="22"/>
          <w:szCs w:val="22"/>
        </w:rPr>
        <w:t xml:space="preserve"> Sensitivity to different allergens is shown in </w:t>
      </w:r>
      <w:r w:rsidR="009F745C" w:rsidRPr="009F745C">
        <w:rPr>
          <w:b/>
          <w:sz w:val="22"/>
          <w:szCs w:val="22"/>
        </w:rPr>
        <w:t>Table 2</w:t>
      </w:r>
      <w:r w:rsidR="009F745C">
        <w:rPr>
          <w:sz w:val="22"/>
          <w:szCs w:val="22"/>
        </w:rPr>
        <w:t xml:space="preserve">. </w:t>
      </w:r>
      <w:r w:rsidR="009F745C" w:rsidRPr="000D0C55">
        <w:rPr>
          <w:sz w:val="22"/>
          <w:szCs w:val="22"/>
        </w:rPr>
        <w:t>Polysensitivity was recorded in 22 patients with European standard series and 4 patients with corticosteroid series.</w:t>
      </w:r>
    </w:p>
    <w:p w:rsidR="009F1FC6" w:rsidRPr="000D0C55" w:rsidRDefault="009F1FC6" w:rsidP="000D0C55">
      <w:pPr>
        <w:spacing w:before="100" w:beforeAutospacing="1" w:after="100" w:afterAutospacing="1" w:line="288" w:lineRule="auto"/>
        <w:jc w:val="both"/>
        <w:rPr>
          <w:sz w:val="22"/>
          <w:szCs w:val="22"/>
        </w:rPr>
      </w:pPr>
      <w:r w:rsidRPr="000D0C55">
        <w:rPr>
          <w:sz w:val="22"/>
          <w:szCs w:val="22"/>
        </w:rPr>
        <w:t>The commonest allergen detected with European standard series was potassium dichromate (21%). The next in frequency were cobalt chloride (12%) and nickel sulfate (12%). Among corticosteroid series the most common allergen detected was tixocortol-21-pivalate (8</w:t>
      </w:r>
      <w:r w:rsidR="00817353" w:rsidRPr="000D0C55">
        <w:rPr>
          <w:sz w:val="22"/>
          <w:szCs w:val="22"/>
        </w:rPr>
        <w:t xml:space="preserve">.6%) followed by hydrocortisone-17-butyrate (4.76%). </w:t>
      </w:r>
      <w:r w:rsidRPr="000D0C55">
        <w:rPr>
          <w:sz w:val="22"/>
          <w:szCs w:val="22"/>
        </w:rPr>
        <w:t>Types of eczema showing highest rate of positive reactions with European standard series included discoid (14.3%), fingertip (8.6%), pompholyx (7.6%) and dry palmar type of eczema (7%).</w:t>
      </w:r>
    </w:p>
    <w:p w:rsidR="009F1FC6" w:rsidRPr="000D0C55" w:rsidRDefault="009F1FC6" w:rsidP="000D0C55">
      <w:pPr>
        <w:spacing w:before="100" w:beforeAutospacing="1" w:after="100" w:afterAutospacing="1" w:line="288" w:lineRule="auto"/>
        <w:jc w:val="both"/>
        <w:rPr>
          <w:sz w:val="22"/>
          <w:szCs w:val="22"/>
        </w:rPr>
      </w:pPr>
      <w:r w:rsidRPr="000D0C55">
        <w:rPr>
          <w:sz w:val="22"/>
          <w:szCs w:val="22"/>
        </w:rPr>
        <w:t>Corticosteroid series showed highest rate of positive reactions with discoid eczema (4.8%).</w:t>
      </w:r>
    </w:p>
    <w:p w:rsidR="00CF50E5" w:rsidRPr="000D0C55" w:rsidRDefault="00CF50E5" w:rsidP="00CF50E5">
      <w:pPr>
        <w:spacing w:before="100" w:beforeAutospacing="1" w:after="100" w:afterAutospacing="1" w:line="288" w:lineRule="auto"/>
        <w:jc w:val="both"/>
        <w:rPr>
          <w:sz w:val="22"/>
          <w:szCs w:val="22"/>
        </w:rPr>
      </w:pPr>
      <w:r w:rsidRPr="000D0C55">
        <w:rPr>
          <w:sz w:val="22"/>
          <w:szCs w:val="22"/>
        </w:rPr>
        <w:t>Different occupations showing p</w:t>
      </w:r>
      <w:r>
        <w:rPr>
          <w:sz w:val="22"/>
          <w:szCs w:val="22"/>
        </w:rPr>
        <w:t xml:space="preserve">ositive reactions are shown in </w:t>
      </w:r>
      <w:r w:rsidRPr="00AE1D2E">
        <w:rPr>
          <w:b/>
          <w:sz w:val="22"/>
          <w:szCs w:val="22"/>
        </w:rPr>
        <w:t>T</w:t>
      </w:r>
      <w:r>
        <w:rPr>
          <w:b/>
          <w:sz w:val="22"/>
          <w:szCs w:val="22"/>
        </w:rPr>
        <w:t>able 3</w:t>
      </w:r>
      <w:r w:rsidRPr="000D0C55">
        <w:rPr>
          <w:sz w:val="22"/>
          <w:szCs w:val="22"/>
        </w:rPr>
        <w:t xml:space="preserve">. </w:t>
      </w:r>
    </w:p>
    <w:p w:rsidR="00CF50E5" w:rsidRDefault="00CF50E5" w:rsidP="000D0C55">
      <w:pPr>
        <w:spacing w:before="100" w:beforeAutospacing="1" w:after="100" w:afterAutospacing="1" w:line="288" w:lineRule="auto"/>
        <w:rPr>
          <w:b/>
          <w:bCs/>
          <w:sz w:val="22"/>
          <w:szCs w:val="22"/>
        </w:rPr>
      </w:pPr>
    </w:p>
    <w:p w:rsidR="00096938" w:rsidRDefault="00096938" w:rsidP="000D0C55">
      <w:pPr>
        <w:spacing w:before="100" w:beforeAutospacing="1" w:after="100" w:afterAutospacing="1" w:line="288" w:lineRule="auto"/>
        <w:rPr>
          <w:b/>
          <w:bCs/>
          <w:sz w:val="22"/>
          <w:szCs w:val="22"/>
        </w:rPr>
      </w:pPr>
    </w:p>
    <w:p w:rsidR="00A71B97" w:rsidRPr="000D0C55" w:rsidRDefault="000D0C55" w:rsidP="000D0C55">
      <w:pPr>
        <w:spacing w:before="100" w:beforeAutospacing="1" w:after="100" w:afterAutospacing="1" w:line="288" w:lineRule="auto"/>
        <w:rPr>
          <w:b/>
          <w:bCs/>
          <w:sz w:val="22"/>
          <w:szCs w:val="22"/>
        </w:rPr>
      </w:pPr>
      <w:r w:rsidRPr="000D0C55">
        <w:rPr>
          <w:b/>
          <w:bCs/>
          <w:sz w:val="22"/>
          <w:szCs w:val="22"/>
        </w:rPr>
        <w:lastRenderedPageBreak/>
        <w:t>Discussion</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 xml:space="preserve">In our patients hand eczema was higher in males than females with the ratio of 1.23:1. Incidence and prevalence of this type of eczema varies in different published studies. Smith </w:t>
      </w:r>
      <w:r w:rsidRPr="000D0C55">
        <w:rPr>
          <w:i/>
          <w:iCs/>
          <w:sz w:val="22"/>
          <w:szCs w:val="22"/>
        </w:rPr>
        <w:t>et al.</w:t>
      </w:r>
      <w:r w:rsidR="00467048" w:rsidRPr="00AE1D2E">
        <w:rPr>
          <w:sz w:val="18"/>
          <w:szCs w:val="22"/>
          <w:vertAlign w:val="superscript"/>
        </w:rPr>
        <w:t>9</w:t>
      </w:r>
      <w:r w:rsidR="00CF50E5">
        <w:rPr>
          <w:sz w:val="18"/>
          <w:szCs w:val="22"/>
          <w:vertAlign w:val="superscript"/>
        </w:rPr>
        <w:t xml:space="preserve"> </w:t>
      </w:r>
      <w:r w:rsidRPr="000D0C55">
        <w:rPr>
          <w:sz w:val="22"/>
          <w:szCs w:val="22"/>
        </w:rPr>
        <w:t>over a period of 15 years research concluded that men were more commonly affected with male to female ratio calculated as 0.8. This is in contrast to other studies in which females are most commonly affected. Meding and Jarvholm</w:t>
      </w:r>
      <w:r w:rsidR="00467048" w:rsidRPr="00AE1D2E">
        <w:rPr>
          <w:sz w:val="18"/>
          <w:szCs w:val="22"/>
          <w:vertAlign w:val="superscript"/>
        </w:rPr>
        <w:t>1</w:t>
      </w:r>
      <w:r w:rsidRPr="000D0C55">
        <w:rPr>
          <w:sz w:val="22"/>
          <w:szCs w:val="22"/>
        </w:rPr>
        <w:t xml:space="preserve"> reported that females are affected more than males with male to female ratio of 1:1.77. In a study conducted in Sweden, 1-year prevalence of hand eczema was calculated and male to female ratio was 1:1.66.</w:t>
      </w:r>
      <w:r w:rsidR="00467048" w:rsidRPr="00AE1D2E">
        <w:rPr>
          <w:sz w:val="18"/>
          <w:szCs w:val="22"/>
          <w:vertAlign w:val="superscript"/>
        </w:rPr>
        <w:t>10</w:t>
      </w:r>
      <w:r w:rsidRPr="000D0C55">
        <w:rPr>
          <w:sz w:val="22"/>
          <w:szCs w:val="22"/>
        </w:rPr>
        <w:t xml:space="preserve"> However</w:t>
      </w:r>
      <w:r w:rsidR="00AE1D2E">
        <w:rPr>
          <w:sz w:val="22"/>
          <w:szCs w:val="22"/>
        </w:rPr>
        <w:t>,</w:t>
      </w:r>
      <w:r w:rsidRPr="000D0C55">
        <w:rPr>
          <w:sz w:val="22"/>
          <w:szCs w:val="22"/>
        </w:rPr>
        <w:t xml:space="preserve"> Meding and Jarvholm</w:t>
      </w:r>
      <w:r w:rsidR="00467048" w:rsidRPr="00AE1D2E">
        <w:rPr>
          <w:sz w:val="18"/>
          <w:szCs w:val="22"/>
          <w:vertAlign w:val="superscript"/>
        </w:rPr>
        <w:t>1</w:t>
      </w:r>
      <w:r w:rsidRPr="000D0C55">
        <w:rPr>
          <w:sz w:val="22"/>
          <w:szCs w:val="22"/>
        </w:rPr>
        <w:t xml:space="preserve"> concluded that there was no difference in incidence rates between women and men above 30 years of age.</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Greater number of males presented to us</w:t>
      </w:r>
      <w:r w:rsidR="00AE1D2E">
        <w:rPr>
          <w:sz w:val="22"/>
          <w:szCs w:val="22"/>
        </w:rPr>
        <w:t xml:space="preserve"> which</w:t>
      </w:r>
      <w:r w:rsidRPr="000D0C55">
        <w:rPr>
          <w:sz w:val="22"/>
          <w:szCs w:val="22"/>
        </w:rPr>
        <w:t xml:space="preserve"> may be due to the reason that in our social set up females are engaged in the household work and child care at home and have less chance to move out. Even affected ones never consult a medical practitioner as they are mostly dependent on males.</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Females presented at a younger age than males in our study. The mean age of presentation for females was almost a decade younger than their male counterparts. This is comparable with various other studies.</w:t>
      </w:r>
      <w:r w:rsidR="00467048" w:rsidRPr="00AE1D2E">
        <w:rPr>
          <w:sz w:val="18"/>
          <w:szCs w:val="22"/>
          <w:vertAlign w:val="superscript"/>
        </w:rPr>
        <w:t>9</w:t>
      </w:r>
      <w:r w:rsidR="00AE1D2E" w:rsidRPr="00AE1D2E">
        <w:rPr>
          <w:sz w:val="18"/>
          <w:szCs w:val="22"/>
          <w:vertAlign w:val="superscript"/>
        </w:rPr>
        <w:t>,</w:t>
      </w:r>
      <w:r w:rsidR="00467048" w:rsidRPr="00AE1D2E">
        <w:rPr>
          <w:sz w:val="18"/>
          <w:szCs w:val="22"/>
          <w:vertAlign w:val="superscript"/>
        </w:rPr>
        <w:t>11</w:t>
      </w:r>
      <w:r w:rsidRPr="000D0C55">
        <w:rPr>
          <w:sz w:val="22"/>
          <w:szCs w:val="22"/>
        </w:rPr>
        <w:t xml:space="preserve"> This might be due to their early involvement in household work, under family and social obligation in our country. Due to lack of fully automatic washing machines for clothes and dishes, hands are frequently exposed to the detergents and wet work. </w:t>
      </w:r>
    </w:p>
    <w:p w:rsidR="00A71B97" w:rsidRPr="000D0C55" w:rsidRDefault="00A71B97" w:rsidP="000D0C55">
      <w:pPr>
        <w:spacing w:before="100" w:beforeAutospacing="1" w:after="100" w:afterAutospacing="1" w:line="288" w:lineRule="auto"/>
        <w:jc w:val="both"/>
        <w:rPr>
          <w:sz w:val="22"/>
          <w:szCs w:val="22"/>
          <w:vertAlign w:val="superscript"/>
        </w:rPr>
      </w:pPr>
      <w:r w:rsidRPr="000D0C55">
        <w:rPr>
          <w:sz w:val="22"/>
          <w:szCs w:val="22"/>
        </w:rPr>
        <w:t xml:space="preserve">Patch testing with European standard series revealed positive reactions in 48.6% of patients in our study which is comparable with most of </w:t>
      </w:r>
      <w:r w:rsidRPr="000D0C55">
        <w:rPr>
          <w:sz w:val="22"/>
          <w:szCs w:val="22"/>
        </w:rPr>
        <w:lastRenderedPageBreak/>
        <w:t xml:space="preserve">the other multicentre studies. Lin-Feng </w:t>
      </w:r>
      <w:r w:rsidRPr="000D0C55">
        <w:rPr>
          <w:i/>
          <w:iCs/>
          <w:sz w:val="22"/>
          <w:szCs w:val="22"/>
        </w:rPr>
        <w:t>et al.</w:t>
      </w:r>
      <w:r w:rsidRPr="00AE1D2E">
        <w:rPr>
          <w:sz w:val="18"/>
          <w:szCs w:val="22"/>
          <w:vertAlign w:val="superscript"/>
        </w:rPr>
        <w:t>1</w:t>
      </w:r>
      <w:r w:rsidR="00467048" w:rsidRPr="00AE1D2E">
        <w:rPr>
          <w:sz w:val="18"/>
          <w:szCs w:val="22"/>
          <w:vertAlign w:val="superscript"/>
        </w:rPr>
        <w:t>2</w:t>
      </w:r>
      <w:r w:rsidR="00AE1D2E">
        <w:rPr>
          <w:sz w:val="22"/>
          <w:szCs w:val="22"/>
        </w:rPr>
        <w:t xml:space="preserve"> </w:t>
      </w:r>
      <w:r w:rsidRPr="000D0C55">
        <w:rPr>
          <w:sz w:val="22"/>
          <w:szCs w:val="22"/>
        </w:rPr>
        <w:t>studied hand eczema patients in China and concluded that total positivity rate was 55%. Results from a contact dermatitis clinic in Israel during the 7 years period showed positivity in 43.5% of the patients.</w:t>
      </w:r>
      <w:r w:rsidR="00467048" w:rsidRPr="00AE1D2E">
        <w:rPr>
          <w:sz w:val="18"/>
          <w:szCs w:val="22"/>
          <w:vertAlign w:val="superscript"/>
        </w:rPr>
        <w:t>13</w:t>
      </w:r>
      <w:r w:rsidRPr="000D0C55">
        <w:rPr>
          <w:sz w:val="22"/>
          <w:szCs w:val="22"/>
        </w:rPr>
        <w:t xml:space="preserve"> Similarly</w:t>
      </w:r>
      <w:r w:rsidR="00AE1D2E">
        <w:rPr>
          <w:sz w:val="22"/>
          <w:szCs w:val="22"/>
        </w:rPr>
        <w:t>,</w:t>
      </w:r>
      <w:r w:rsidRPr="000D0C55">
        <w:rPr>
          <w:sz w:val="22"/>
          <w:szCs w:val="22"/>
        </w:rPr>
        <w:t xml:space="preserve"> 44% of the patients showed positive reaction</w:t>
      </w:r>
      <w:r w:rsidR="00AE1D2E">
        <w:rPr>
          <w:sz w:val="22"/>
          <w:szCs w:val="22"/>
        </w:rPr>
        <w:t xml:space="preserve"> in a study conducted in Europe</w:t>
      </w:r>
      <w:r w:rsidR="00467048" w:rsidRPr="00AE1D2E">
        <w:rPr>
          <w:sz w:val="18"/>
          <w:szCs w:val="22"/>
          <w:vertAlign w:val="superscript"/>
        </w:rPr>
        <w:t>14</w:t>
      </w:r>
      <w:r w:rsidRPr="000D0C55">
        <w:rPr>
          <w:sz w:val="22"/>
          <w:szCs w:val="22"/>
        </w:rPr>
        <w:t xml:space="preserve"> and it was 54.7% in a study from Hong Kong.</w:t>
      </w:r>
      <w:r w:rsidR="00CD22DB" w:rsidRPr="00AE1D2E">
        <w:rPr>
          <w:sz w:val="18"/>
          <w:szCs w:val="22"/>
          <w:vertAlign w:val="superscript"/>
        </w:rPr>
        <w:t>1</w:t>
      </w:r>
      <w:r w:rsidR="00467048" w:rsidRPr="00AE1D2E">
        <w:rPr>
          <w:sz w:val="18"/>
          <w:szCs w:val="22"/>
          <w:vertAlign w:val="superscript"/>
        </w:rPr>
        <w:t>5</w:t>
      </w:r>
      <w:r w:rsidRPr="000D0C55">
        <w:rPr>
          <w:sz w:val="22"/>
          <w:szCs w:val="22"/>
        </w:rPr>
        <w:t xml:space="preserve"> A study conducted in Mayo Hospital, Lahore, P</w:t>
      </w:r>
      <w:r w:rsidR="00FC69BA">
        <w:rPr>
          <w:sz w:val="22"/>
          <w:szCs w:val="22"/>
        </w:rPr>
        <w:t>akistan on hand eczema by Akbar</w:t>
      </w:r>
      <w:r w:rsidR="00467048" w:rsidRPr="00FC69BA">
        <w:rPr>
          <w:sz w:val="18"/>
          <w:szCs w:val="22"/>
          <w:vertAlign w:val="superscript"/>
        </w:rPr>
        <w:t>16</w:t>
      </w:r>
      <w:r w:rsidR="00CD22DB" w:rsidRPr="000D0C55">
        <w:rPr>
          <w:sz w:val="22"/>
          <w:szCs w:val="22"/>
          <w:vertAlign w:val="superscript"/>
        </w:rPr>
        <w:t xml:space="preserve"> </w:t>
      </w:r>
      <w:r w:rsidRPr="000D0C55">
        <w:rPr>
          <w:sz w:val="22"/>
          <w:szCs w:val="22"/>
        </w:rPr>
        <w:t>reported allergic reactions in 46% of her patients, which is comparable with our study.</w:t>
      </w:r>
      <w:r w:rsidRPr="000D0C55">
        <w:rPr>
          <w:sz w:val="22"/>
          <w:szCs w:val="22"/>
          <w:vertAlign w:val="superscript"/>
        </w:rPr>
        <w:t xml:space="preserve">  </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 xml:space="preserve">Few other studies revealed a high percentage of positive results in hand eczema. Bajaj </w:t>
      </w:r>
      <w:r w:rsidRPr="000D0C55">
        <w:rPr>
          <w:i/>
          <w:iCs/>
          <w:sz w:val="22"/>
          <w:szCs w:val="22"/>
        </w:rPr>
        <w:t>et al.</w:t>
      </w:r>
      <w:r w:rsidR="00467048" w:rsidRPr="00FC69BA">
        <w:rPr>
          <w:sz w:val="18"/>
          <w:szCs w:val="22"/>
          <w:vertAlign w:val="superscript"/>
        </w:rPr>
        <w:t>17</w:t>
      </w:r>
      <w:r w:rsidR="00CD22DB" w:rsidRPr="000D0C55">
        <w:rPr>
          <w:sz w:val="22"/>
          <w:szCs w:val="22"/>
          <w:vertAlign w:val="superscript"/>
        </w:rPr>
        <w:t xml:space="preserve"> </w:t>
      </w:r>
      <w:r w:rsidRPr="000D0C55">
        <w:rPr>
          <w:sz w:val="22"/>
          <w:szCs w:val="22"/>
        </w:rPr>
        <w:t xml:space="preserve">reported 59% while a percentage of 69.1% was obtained by Davis </w:t>
      </w:r>
      <w:r w:rsidRPr="000D0C55">
        <w:rPr>
          <w:i/>
          <w:iCs/>
          <w:sz w:val="22"/>
          <w:szCs w:val="22"/>
        </w:rPr>
        <w:t>et al.</w:t>
      </w:r>
      <w:r w:rsidR="00467048" w:rsidRPr="00FC69BA">
        <w:rPr>
          <w:sz w:val="18"/>
          <w:szCs w:val="22"/>
          <w:vertAlign w:val="superscript"/>
        </w:rPr>
        <w:t>18</w:t>
      </w:r>
      <w:r w:rsidR="00FC69BA">
        <w:rPr>
          <w:sz w:val="22"/>
          <w:szCs w:val="22"/>
          <w:vertAlign w:val="superscript"/>
        </w:rPr>
        <w:t xml:space="preserve"> </w:t>
      </w:r>
      <w:r w:rsidRPr="000D0C55">
        <w:rPr>
          <w:sz w:val="22"/>
          <w:szCs w:val="22"/>
        </w:rPr>
        <w:t>at Mayo Clinic.</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The variability in results from different countries may be due to disparity in geographic conditions, industrial exposure and socio-economic environment. Results from Indian studies differ from us as they included patients presenting with different types of eczema including hand eczema. Furthermore they used an indigenous series of allergens which does not exactly match the European standard series.</w:t>
      </w:r>
      <w:r w:rsidR="00467048" w:rsidRPr="00FC69BA">
        <w:rPr>
          <w:sz w:val="18"/>
          <w:szCs w:val="22"/>
          <w:vertAlign w:val="superscript"/>
        </w:rPr>
        <w:t>17</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Most common allergen detected by European standard series in our study was potassium dichromate which is 21%, whereas cobalt chloride and nickel sulphate were next common with 12% sensitivity each.</w:t>
      </w:r>
      <w:r w:rsidR="00CF50E5">
        <w:rPr>
          <w:sz w:val="22"/>
          <w:szCs w:val="22"/>
        </w:rPr>
        <w:t xml:space="preserve"> </w:t>
      </w:r>
      <w:r w:rsidRPr="000D0C55">
        <w:rPr>
          <w:sz w:val="22"/>
          <w:szCs w:val="22"/>
        </w:rPr>
        <w:t>This is in contrast to other studies conducted previously. Nickel sulphate was the commonest sensitizers according to the international studies.</w:t>
      </w:r>
      <w:r w:rsidR="00FC69BA" w:rsidRPr="00FC69BA">
        <w:rPr>
          <w:sz w:val="18"/>
          <w:szCs w:val="22"/>
          <w:vertAlign w:val="superscript"/>
        </w:rPr>
        <w:t>13,15,</w:t>
      </w:r>
      <w:r w:rsidR="00416677" w:rsidRPr="00FC69BA">
        <w:rPr>
          <w:sz w:val="18"/>
          <w:szCs w:val="22"/>
          <w:vertAlign w:val="superscript"/>
        </w:rPr>
        <w:t>17</w:t>
      </w:r>
      <w:r w:rsidR="00FC69BA" w:rsidRPr="00FC69BA">
        <w:rPr>
          <w:sz w:val="18"/>
          <w:szCs w:val="22"/>
          <w:vertAlign w:val="superscript"/>
        </w:rPr>
        <w:t>,</w:t>
      </w:r>
      <w:r w:rsidR="00416677" w:rsidRPr="00FC69BA">
        <w:rPr>
          <w:sz w:val="18"/>
          <w:szCs w:val="22"/>
          <w:vertAlign w:val="superscript"/>
        </w:rPr>
        <w:t>19</w:t>
      </w:r>
      <w:r w:rsidRPr="000D0C55">
        <w:rPr>
          <w:sz w:val="22"/>
          <w:szCs w:val="22"/>
        </w:rPr>
        <w:t xml:space="preserve"> Other sensitizers which are next to nickel sulphate are potassium dichromate, cobalt chloride and fragrance mix in most of the studies.</w:t>
      </w:r>
      <w:r w:rsidR="00FC69BA" w:rsidRPr="00FC69BA">
        <w:rPr>
          <w:sz w:val="18"/>
          <w:szCs w:val="22"/>
          <w:vertAlign w:val="superscript"/>
        </w:rPr>
        <w:t>13,</w:t>
      </w:r>
      <w:r w:rsidR="00467048" w:rsidRPr="00FC69BA">
        <w:rPr>
          <w:sz w:val="18"/>
          <w:szCs w:val="22"/>
          <w:vertAlign w:val="superscript"/>
        </w:rPr>
        <w:t>20</w:t>
      </w:r>
      <w:r w:rsidRPr="00FC69BA">
        <w:rPr>
          <w:sz w:val="18"/>
          <w:szCs w:val="22"/>
          <w:vertAlign w:val="superscript"/>
        </w:rPr>
        <w:t>,</w:t>
      </w:r>
      <w:r w:rsidR="00467048" w:rsidRPr="00FC69BA">
        <w:rPr>
          <w:sz w:val="18"/>
          <w:szCs w:val="22"/>
          <w:vertAlign w:val="superscript"/>
        </w:rPr>
        <w:t>21</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lastRenderedPageBreak/>
        <w:t>Among occupations which showed positive results, most of the patients were laborers and then were the students and housewives. Potassium dichromate was the most common allergen detected in our study because the greatest numbers of patients which showed positive results were laborers. Even large numbers of females are engaged in the laborious work with their male partners in our country. This is the reason that we have highest sensitivity with potassium dichromate in our study. In other part of the world, addition of ferrous sulphate to the cement had led to the decrease sensitivity to potassium dichromate in construction workers.</w:t>
      </w:r>
      <w:r w:rsidR="00467048" w:rsidRPr="00FC69BA">
        <w:rPr>
          <w:sz w:val="18"/>
          <w:szCs w:val="22"/>
          <w:vertAlign w:val="superscript"/>
        </w:rPr>
        <w:t>22</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Patch testing with corticosteroid series showed positivity in 11.4% of the patients.</w:t>
      </w:r>
      <w:r w:rsidR="00467048" w:rsidRPr="000D0C55">
        <w:rPr>
          <w:sz w:val="22"/>
          <w:szCs w:val="22"/>
        </w:rPr>
        <w:t xml:space="preserve"> </w:t>
      </w:r>
      <w:r w:rsidRPr="000D0C55">
        <w:rPr>
          <w:sz w:val="22"/>
          <w:szCs w:val="22"/>
        </w:rPr>
        <w:t>Similar results were obtained by Davis</w:t>
      </w:r>
      <w:r w:rsidRPr="000D0C55">
        <w:rPr>
          <w:i/>
          <w:iCs/>
          <w:sz w:val="22"/>
          <w:szCs w:val="22"/>
        </w:rPr>
        <w:t xml:space="preserve"> et al</w:t>
      </w:r>
      <w:r w:rsidRPr="000D0C55">
        <w:rPr>
          <w:sz w:val="22"/>
          <w:szCs w:val="22"/>
        </w:rPr>
        <w:t>.</w:t>
      </w:r>
      <w:r w:rsidR="00467048" w:rsidRPr="00FC69BA">
        <w:rPr>
          <w:sz w:val="18"/>
          <w:szCs w:val="22"/>
          <w:vertAlign w:val="superscript"/>
        </w:rPr>
        <w:t>20</w:t>
      </w:r>
      <w:r w:rsidRPr="000D0C55">
        <w:rPr>
          <w:sz w:val="22"/>
          <w:szCs w:val="22"/>
        </w:rPr>
        <w:t xml:space="preserve"> who reported that patch testing in corticosteroid allergic patients confirm allergy is 10.69%. Gonul </w:t>
      </w:r>
      <w:r w:rsidRPr="000D0C55">
        <w:rPr>
          <w:i/>
          <w:sz w:val="22"/>
          <w:szCs w:val="22"/>
        </w:rPr>
        <w:t>et al.</w:t>
      </w:r>
      <w:r w:rsidR="00467048" w:rsidRPr="00FC69BA">
        <w:rPr>
          <w:sz w:val="18"/>
          <w:szCs w:val="22"/>
          <w:vertAlign w:val="superscript"/>
        </w:rPr>
        <w:t>6</w:t>
      </w:r>
      <w:r w:rsidRPr="000D0C55">
        <w:rPr>
          <w:sz w:val="22"/>
          <w:szCs w:val="22"/>
        </w:rPr>
        <w:t xml:space="preserve"> reported higher sensitivity of 22% of his patients. This might be due to the reason that </w:t>
      </w:r>
      <w:r w:rsidR="00CF50E5">
        <w:rPr>
          <w:sz w:val="22"/>
          <w:szCs w:val="22"/>
        </w:rPr>
        <w:t>they</w:t>
      </w:r>
      <w:r w:rsidRPr="000D0C55">
        <w:rPr>
          <w:sz w:val="22"/>
          <w:szCs w:val="22"/>
        </w:rPr>
        <w:t xml:space="preserve"> specifically performed patch testing on the patients who were not showing response to the topical corticosteroid treatment.</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 xml:space="preserve">Most common allergen </w:t>
      </w:r>
      <w:r w:rsidR="00CF50E5">
        <w:rPr>
          <w:sz w:val="22"/>
          <w:szCs w:val="22"/>
        </w:rPr>
        <w:t xml:space="preserve">in corticosteroid series </w:t>
      </w:r>
      <w:r w:rsidRPr="000D0C55">
        <w:rPr>
          <w:sz w:val="22"/>
          <w:szCs w:val="22"/>
        </w:rPr>
        <w:t>detected in our study wa</w:t>
      </w:r>
      <w:r w:rsidR="00416677" w:rsidRPr="000D0C55">
        <w:rPr>
          <w:sz w:val="22"/>
          <w:szCs w:val="22"/>
        </w:rPr>
        <w:t>s tixocortol-21-pivalate (8.6%) followed by hydrocortisone-17-butyrate</w:t>
      </w:r>
      <w:r w:rsidR="00FC69BA">
        <w:rPr>
          <w:sz w:val="22"/>
          <w:szCs w:val="22"/>
        </w:rPr>
        <w:t xml:space="preserve"> </w:t>
      </w:r>
      <w:r w:rsidR="00416677" w:rsidRPr="000D0C55">
        <w:rPr>
          <w:sz w:val="22"/>
          <w:szCs w:val="22"/>
        </w:rPr>
        <w:t>(4.76%).</w:t>
      </w:r>
      <w:r w:rsidRPr="000D0C55">
        <w:rPr>
          <w:sz w:val="22"/>
          <w:szCs w:val="22"/>
        </w:rPr>
        <w:t xml:space="preserve"> Tixocortol-21-pivalate is an established marker to topical corticosteroid allergy</w:t>
      </w:r>
      <w:r w:rsidR="00467048" w:rsidRPr="00FC69BA">
        <w:rPr>
          <w:sz w:val="18"/>
          <w:szCs w:val="22"/>
          <w:vertAlign w:val="superscript"/>
        </w:rPr>
        <w:t>23</w:t>
      </w:r>
      <w:r w:rsidRPr="000D0C55">
        <w:rPr>
          <w:sz w:val="22"/>
          <w:szCs w:val="22"/>
        </w:rPr>
        <w:t xml:space="preserve"> and cross-reactivity between tixocortol-21-pivalate and hydrocortisone is well known due to their close molecular resemblance.</w:t>
      </w:r>
      <w:r w:rsidR="00467048" w:rsidRPr="00FC69BA">
        <w:rPr>
          <w:sz w:val="18"/>
          <w:szCs w:val="22"/>
          <w:vertAlign w:val="superscript"/>
        </w:rPr>
        <w:t>24</w:t>
      </w:r>
      <w:r w:rsidRPr="000D0C55">
        <w:rPr>
          <w:sz w:val="22"/>
          <w:szCs w:val="22"/>
        </w:rPr>
        <w:t xml:space="preserve"> Lutz </w:t>
      </w:r>
      <w:r w:rsidRPr="000D0C55">
        <w:rPr>
          <w:i/>
          <w:sz w:val="22"/>
          <w:szCs w:val="22"/>
        </w:rPr>
        <w:t>et al</w:t>
      </w:r>
      <w:r w:rsidR="00FC69BA">
        <w:rPr>
          <w:i/>
          <w:sz w:val="22"/>
          <w:szCs w:val="22"/>
        </w:rPr>
        <w:t>.</w:t>
      </w:r>
      <w:r w:rsidR="00467048" w:rsidRPr="00FC69BA">
        <w:rPr>
          <w:sz w:val="18"/>
          <w:szCs w:val="22"/>
          <w:vertAlign w:val="superscript"/>
        </w:rPr>
        <w:t>23</w:t>
      </w:r>
      <w:r w:rsidRPr="000D0C55">
        <w:rPr>
          <w:sz w:val="22"/>
          <w:szCs w:val="22"/>
          <w:vertAlign w:val="superscript"/>
        </w:rPr>
        <w:t xml:space="preserve"> </w:t>
      </w:r>
      <w:r w:rsidRPr="000D0C55">
        <w:rPr>
          <w:sz w:val="22"/>
          <w:szCs w:val="22"/>
        </w:rPr>
        <w:t>reported 2.9% sensitivity while Gonul</w:t>
      </w:r>
      <w:r w:rsidRPr="000D0C55">
        <w:rPr>
          <w:i/>
          <w:sz w:val="22"/>
          <w:szCs w:val="22"/>
        </w:rPr>
        <w:t xml:space="preserve"> et al.</w:t>
      </w:r>
      <w:r w:rsidR="00467048" w:rsidRPr="00FC69BA">
        <w:rPr>
          <w:sz w:val="18"/>
          <w:szCs w:val="22"/>
          <w:vertAlign w:val="superscript"/>
        </w:rPr>
        <w:t>6</w:t>
      </w:r>
      <w:r w:rsidRPr="000D0C55">
        <w:rPr>
          <w:sz w:val="22"/>
          <w:szCs w:val="22"/>
        </w:rPr>
        <w:t xml:space="preserve"> reported higher value of 14.6% with tixocortol-21-pivalate.</w:t>
      </w:r>
    </w:p>
    <w:p w:rsidR="00A71B97" w:rsidRPr="000D0C55" w:rsidRDefault="00A71B97" w:rsidP="000D0C55">
      <w:pPr>
        <w:spacing w:before="100" w:beforeAutospacing="1" w:after="100" w:afterAutospacing="1" w:line="288" w:lineRule="auto"/>
        <w:jc w:val="both"/>
        <w:rPr>
          <w:sz w:val="22"/>
          <w:szCs w:val="22"/>
        </w:rPr>
      </w:pPr>
      <w:r w:rsidRPr="000D0C55">
        <w:rPr>
          <w:sz w:val="22"/>
          <w:szCs w:val="22"/>
        </w:rPr>
        <w:t xml:space="preserve">Results of </w:t>
      </w:r>
      <w:r w:rsidR="00CF50E5">
        <w:rPr>
          <w:sz w:val="22"/>
          <w:szCs w:val="22"/>
        </w:rPr>
        <w:t>our</w:t>
      </w:r>
      <w:r w:rsidRPr="000D0C55">
        <w:rPr>
          <w:sz w:val="22"/>
          <w:szCs w:val="22"/>
        </w:rPr>
        <w:t xml:space="preserve"> study show that in patients of hand eczema which becomes chronic and difficult to treat, the possibility of ACD </w:t>
      </w:r>
      <w:r w:rsidR="00CF50E5">
        <w:rPr>
          <w:sz w:val="22"/>
          <w:szCs w:val="22"/>
        </w:rPr>
        <w:t>to</w:t>
      </w:r>
      <w:r w:rsidR="0002394F" w:rsidRPr="000D0C55">
        <w:rPr>
          <w:sz w:val="22"/>
          <w:szCs w:val="22"/>
        </w:rPr>
        <w:t xml:space="preserve"> topical corticosteroids</w:t>
      </w:r>
      <w:r w:rsidR="00CF50E5">
        <w:rPr>
          <w:sz w:val="22"/>
          <w:szCs w:val="22"/>
        </w:rPr>
        <w:t xml:space="preserve"> should be considered, as</w:t>
      </w:r>
      <w:r w:rsidR="0002394F" w:rsidRPr="000D0C55">
        <w:rPr>
          <w:sz w:val="22"/>
          <w:szCs w:val="22"/>
        </w:rPr>
        <w:t xml:space="preserve"> </w:t>
      </w:r>
      <w:r w:rsidR="00CF50E5">
        <w:rPr>
          <w:sz w:val="22"/>
          <w:szCs w:val="22"/>
        </w:rPr>
        <w:lastRenderedPageBreak/>
        <w:t xml:space="preserve">they </w:t>
      </w:r>
      <w:r w:rsidR="0002394F" w:rsidRPr="000D0C55">
        <w:rPr>
          <w:sz w:val="22"/>
          <w:szCs w:val="22"/>
        </w:rPr>
        <w:t xml:space="preserve">are commonly used to treat hand eczema, </w:t>
      </w:r>
      <w:r w:rsidRPr="000D0C55">
        <w:rPr>
          <w:sz w:val="22"/>
          <w:szCs w:val="22"/>
        </w:rPr>
        <w:t>Diagnostic patch testing would be an invaluable tool to rule in or rule out ACD and would help in better management of the patients in terms of improving the quality of life.</w:t>
      </w:r>
    </w:p>
    <w:p w:rsidR="00A71B97" w:rsidRPr="000D0C55" w:rsidRDefault="000D0C55" w:rsidP="000D0C55">
      <w:pPr>
        <w:tabs>
          <w:tab w:val="left" w:pos="6510"/>
        </w:tabs>
        <w:spacing w:before="100" w:beforeAutospacing="1" w:after="100" w:afterAutospacing="1" w:line="288" w:lineRule="auto"/>
        <w:rPr>
          <w:b/>
          <w:sz w:val="22"/>
          <w:szCs w:val="22"/>
        </w:rPr>
      </w:pPr>
      <w:r w:rsidRPr="000D0C55">
        <w:rPr>
          <w:b/>
          <w:sz w:val="22"/>
          <w:szCs w:val="22"/>
        </w:rPr>
        <w:t>Conclusion</w:t>
      </w:r>
    </w:p>
    <w:p w:rsidR="00A71B97" w:rsidRPr="000D0C55" w:rsidRDefault="00A71B97" w:rsidP="00FC69BA">
      <w:pPr>
        <w:tabs>
          <w:tab w:val="left" w:pos="3075"/>
        </w:tabs>
        <w:spacing w:before="100" w:beforeAutospacing="1" w:after="100" w:afterAutospacing="1" w:line="288" w:lineRule="auto"/>
        <w:jc w:val="both"/>
        <w:rPr>
          <w:sz w:val="22"/>
          <w:szCs w:val="22"/>
        </w:rPr>
      </w:pPr>
      <w:r w:rsidRPr="000D0C55">
        <w:rPr>
          <w:sz w:val="22"/>
          <w:szCs w:val="22"/>
        </w:rPr>
        <w:t xml:space="preserve">It is mandatory to patch test each patient of </w:t>
      </w:r>
      <w:r w:rsidR="00CF50E5">
        <w:rPr>
          <w:sz w:val="22"/>
          <w:szCs w:val="22"/>
        </w:rPr>
        <w:t xml:space="preserve">chronic and difficult to treat </w:t>
      </w:r>
      <w:r w:rsidRPr="000D0C55">
        <w:rPr>
          <w:sz w:val="22"/>
          <w:szCs w:val="22"/>
        </w:rPr>
        <w:t>hand eczema to detect the etiological allergens</w:t>
      </w:r>
      <w:r w:rsidR="00CF50E5">
        <w:rPr>
          <w:sz w:val="22"/>
          <w:szCs w:val="22"/>
        </w:rPr>
        <w:t xml:space="preserve"> in the standard series or </w:t>
      </w:r>
      <w:r w:rsidRPr="000D0C55">
        <w:rPr>
          <w:sz w:val="22"/>
          <w:szCs w:val="22"/>
        </w:rPr>
        <w:t>corticosteroid series.</w:t>
      </w:r>
    </w:p>
    <w:p w:rsidR="0004201A" w:rsidRPr="000D0C55" w:rsidRDefault="000D0C55" w:rsidP="000D0C55">
      <w:pPr>
        <w:spacing w:before="100" w:beforeAutospacing="1" w:after="100" w:afterAutospacing="1" w:line="288" w:lineRule="auto"/>
        <w:jc w:val="both"/>
        <w:rPr>
          <w:b/>
          <w:sz w:val="22"/>
          <w:szCs w:val="22"/>
        </w:rPr>
      </w:pPr>
      <w:r w:rsidRPr="000D0C55">
        <w:rPr>
          <w:b/>
          <w:sz w:val="22"/>
          <w:szCs w:val="22"/>
        </w:rPr>
        <w:t>References</w:t>
      </w:r>
    </w:p>
    <w:p w:rsidR="00EA2E0C" w:rsidRPr="000D0C55" w:rsidRDefault="00EA2E0C" w:rsidP="000D0C55">
      <w:pPr>
        <w:pStyle w:val="ListParagraph"/>
        <w:numPr>
          <w:ilvl w:val="0"/>
          <w:numId w:val="17"/>
        </w:numPr>
        <w:jc w:val="both"/>
        <w:rPr>
          <w:b/>
          <w:sz w:val="28"/>
          <w:szCs w:val="32"/>
        </w:rPr>
      </w:pPr>
      <w:r w:rsidRPr="000D0C55">
        <w:rPr>
          <w:sz w:val="20"/>
        </w:rPr>
        <w:t>Meding B, Jarvholm B. Incidence of hand eczema- a population based- retrospective</w:t>
      </w:r>
      <w:r w:rsidR="00841269" w:rsidRPr="000D0C55">
        <w:rPr>
          <w:sz w:val="20"/>
        </w:rPr>
        <w:t xml:space="preserve"> </w:t>
      </w:r>
      <w:r w:rsidRPr="000D0C55">
        <w:rPr>
          <w:sz w:val="20"/>
        </w:rPr>
        <w:t>study.</w:t>
      </w:r>
      <w:r w:rsidRPr="000D0C55">
        <w:rPr>
          <w:i/>
          <w:sz w:val="20"/>
        </w:rPr>
        <w:t xml:space="preserve"> J</w:t>
      </w:r>
      <w:r w:rsidRPr="000D0C55">
        <w:rPr>
          <w:sz w:val="20"/>
        </w:rPr>
        <w:t xml:space="preserve"> </w:t>
      </w:r>
      <w:r w:rsidRPr="000D0C55">
        <w:rPr>
          <w:i/>
          <w:sz w:val="20"/>
        </w:rPr>
        <w:t>Invest Dermatol</w:t>
      </w:r>
      <w:r w:rsidRPr="000D0C55">
        <w:rPr>
          <w:sz w:val="20"/>
        </w:rPr>
        <w:t xml:space="preserve"> 2004;</w:t>
      </w:r>
      <w:r w:rsidRPr="000D0C55">
        <w:rPr>
          <w:b/>
          <w:sz w:val="20"/>
        </w:rPr>
        <w:t>122</w:t>
      </w:r>
      <w:r w:rsidRPr="000D0C55">
        <w:rPr>
          <w:sz w:val="20"/>
        </w:rPr>
        <w:t>:873-7.</w:t>
      </w:r>
    </w:p>
    <w:p w:rsidR="00EA2E0C" w:rsidRPr="000D0C55" w:rsidRDefault="00841269" w:rsidP="000D0C55">
      <w:pPr>
        <w:pStyle w:val="BodyText"/>
        <w:numPr>
          <w:ilvl w:val="0"/>
          <w:numId w:val="17"/>
        </w:numPr>
        <w:tabs>
          <w:tab w:val="left" w:pos="900"/>
        </w:tabs>
        <w:rPr>
          <w:sz w:val="20"/>
        </w:rPr>
      </w:pPr>
      <w:r w:rsidRPr="000D0C55">
        <w:rPr>
          <w:sz w:val="20"/>
        </w:rPr>
        <w:t>Lin-F</w:t>
      </w:r>
      <w:r w:rsidR="00EA2E0C" w:rsidRPr="000D0C55">
        <w:rPr>
          <w:sz w:val="20"/>
        </w:rPr>
        <w:t xml:space="preserve">eng L, Guangren L, Jing W. Etiology and prognosis of hand eczema in a dermatology </w:t>
      </w:r>
      <w:r w:rsidR="00172C41" w:rsidRPr="000D0C55">
        <w:rPr>
          <w:sz w:val="20"/>
        </w:rPr>
        <w:t xml:space="preserve"> </w:t>
      </w:r>
      <w:r w:rsidR="00EA2E0C" w:rsidRPr="000D0C55">
        <w:rPr>
          <w:sz w:val="20"/>
        </w:rPr>
        <w:t xml:space="preserve">clinic in China: a follow-up study. </w:t>
      </w:r>
      <w:r w:rsidR="00EA2E0C" w:rsidRPr="000D0C55">
        <w:rPr>
          <w:i/>
          <w:sz w:val="20"/>
        </w:rPr>
        <w:t xml:space="preserve">Contact </w:t>
      </w:r>
      <w:r w:rsidRPr="000D0C55">
        <w:rPr>
          <w:i/>
          <w:sz w:val="20"/>
        </w:rPr>
        <w:t>D</w:t>
      </w:r>
      <w:r w:rsidR="00EA2E0C" w:rsidRPr="000D0C55">
        <w:rPr>
          <w:i/>
          <w:sz w:val="20"/>
        </w:rPr>
        <w:t>ermatitis</w:t>
      </w:r>
      <w:r w:rsidR="00EA2E0C" w:rsidRPr="000D0C55">
        <w:rPr>
          <w:sz w:val="20"/>
        </w:rPr>
        <w:t xml:space="preserve"> 2008;</w:t>
      </w:r>
      <w:r w:rsidR="00EA2E0C" w:rsidRPr="000D0C55">
        <w:rPr>
          <w:b/>
          <w:sz w:val="20"/>
        </w:rPr>
        <w:t>58</w:t>
      </w:r>
      <w:r w:rsidR="00EA2E0C" w:rsidRPr="000D0C55">
        <w:rPr>
          <w:sz w:val="20"/>
        </w:rPr>
        <w:t>:88-92.</w:t>
      </w:r>
    </w:p>
    <w:p w:rsidR="00EA2E0C" w:rsidRPr="000D0C55" w:rsidRDefault="00841269" w:rsidP="000D0C55">
      <w:pPr>
        <w:pStyle w:val="BodyText"/>
        <w:numPr>
          <w:ilvl w:val="0"/>
          <w:numId w:val="17"/>
        </w:numPr>
        <w:tabs>
          <w:tab w:val="left" w:pos="900"/>
        </w:tabs>
        <w:rPr>
          <w:sz w:val="20"/>
        </w:rPr>
      </w:pPr>
      <w:r w:rsidRPr="000D0C55">
        <w:rPr>
          <w:sz w:val="20"/>
        </w:rPr>
        <w:t xml:space="preserve">Lerback A, Kyvik KO, Ravn H </w:t>
      </w:r>
      <w:r w:rsidRPr="000D0C55">
        <w:rPr>
          <w:i/>
          <w:sz w:val="20"/>
        </w:rPr>
        <w:t>et al</w:t>
      </w:r>
      <w:r w:rsidRPr="000D0C55">
        <w:rPr>
          <w:sz w:val="20"/>
        </w:rPr>
        <w:t xml:space="preserve">. </w:t>
      </w:r>
      <w:r w:rsidR="00EA2E0C" w:rsidRPr="000D0C55">
        <w:rPr>
          <w:sz w:val="20"/>
        </w:rPr>
        <w:t xml:space="preserve">Incidence of </w:t>
      </w:r>
      <w:r w:rsidRPr="000D0C55">
        <w:rPr>
          <w:sz w:val="20"/>
        </w:rPr>
        <w:t>h</w:t>
      </w:r>
      <w:r w:rsidR="00EA2E0C" w:rsidRPr="000D0C55">
        <w:rPr>
          <w:sz w:val="20"/>
        </w:rPr>
        <w:t>and eczema in a</w:t>
      </w:r>
      <w:r w:rsidR="00172C41" w:rsidRPr="000D0C55">
        <w:rPr>
          <w:sz w:val="20"/>
        </w:rPr>
        <w:t xml:space="preserve"> </w:t>
      </w:r>
      <w:r w:rsidR="00EA2E0C" w:rsidRPr="000D0C55">
        <w:rPr>
          <w:sz w:val="20"/>
        </w:rPr>
        <w:t xml:space="preserve">population – based twin cohort: genetic and environmental risk factors. </w:t>
      </w:r>
      <w:r w:rsidR="00EA2E0C" w:rsidRPr="000D0C55">
        <w:rPr>
          <w:i/>
          <w:sz w:val="20"/>
        </w:rPr>
        <w:t>Br J Dermatol</w:t>
      </w:r>
      <w:r w:rsidRPr="000D0C55">
        <w:rPr>
          <w:sz w:val="20"/>
        </w:rPr>
        <w:t xml:space="preserve">. </w:t>
      </w:r>
      <w:r w:rsidR="00EA2E0C" w:rsidRPr="000D0C55">
        <w:rPr>
          <w:sz w:val="20"/>
        </w:rPr>
        <w:t>2007;</w:t>
      </w:r>
      <w:r w:rsidR="00EA2E0C" w:rsidRPr="000D0C55">
        <w:rPr>
          <w:b/>
          <w:sz w:val="20"/>
        </w:rPr>
        <w:t>157</w:t>
      </w:r>
      <w:r w:rsidR="00EA2E0C" w:rsidRPr="000D0C55">
        <w:rPr>
          <w:sz w:val="20"/>
        </w:rPr>
        <w:t>:552-7.</w:t>
      </w:r>
    </w:p>
    <w:p w:rsidR="00EA2E0C" w:rsidRPr="000D0C55" w:rsidRDefault="00EA2E0C" w:rsidP="000D0C55">
      <w:pPr>
        <w:pStyle w:val="BodyText"/>
        <w:numPr>
          <w:ilvl w:val="0"/>
          <w:numId w:val="17"/>
        </w:numPr>
        <w:tabs>
          <w:tab w:val="left" w:pos="900"/>
        </w:tabs>
        <w:rPr>
          <w:sz w:val="20"/>
        </w:rPr>
      </w:pPr>
      <w:r w:rsidRPr="000D0C55">
        <w:rPr>
          <w:sz w:val="20"/>
        </w:rPr>
        <w:t xml:space="preserve">Mimesh S, Pratt M. Allergic contact </w:t>
      </w:r>
      <w:r w:rsidR="00841269" w:rsidRPr="000D0C55">
        <w:rPr>
          <w:sz w:val="20"/>
        </w:rPr>
        <w:t>d</w:t>
      </w:r>
      <w:r w:rsidRPr="000D0C55">
        <w:rPr>
          <w:sz w:val="20"/>
        </w:rPr>
        <w:t xml:space="preserve">ermatitis from corticosteroids: reproducibility of patch testing and correlation with intradermal testing. </w:t>
      </w:r>
      <w:r w:rsidRPr="000D0C55">
        <w:rPr>
          <w:i/>
          <w:sz w:val="20"/>
        </w:rPr>
        <w:t>Dermatitis</w:t>
      </w:r>
      <w:r w:rsidR="00841269" w:rsidRPr="000D0C55">
        <w:rPr>
          <w:i/>
          <w:sz w:val="20"/>
        </w:rPr>
        <w:t>.</w:t>
      </w:r>
      <w:r w:rsidRPr="000D0C55">
        <w:rPr>
          <w:sz w:val="20"/>
        </w:rPr>
        <w:t xml:space="preserve"> 2006;</w:t>
      </w:r>
      <w:r w:rsidRPr="000D0C55">
        <w:rPr>
          <w:b/>
          <w:sz w:val="20"/>
        </w:rPr>
        <w:t>17</w:t>
      </w:r>
      <w:r w:rsidRPr="000D0C55">
        <w:rPr>
          <w:sz w:val="20"/>
        </w:rPr>
        <w:t>:1377-42.</w:t>
      </w:r>
    </w:p>
    <w:p w:rsidR="00EA2E0C" w:rsidRPr="000D0C55" w:rsidRDefault="00EA2E0C" w:rsidP="000D0C55">
      <w:pPr>
        <w:pStyle w:val="BodyText"/>
        <w:numPr>
          <w:ilvl w:val="0"/>
          <w:numId w:val="17"/>
        </w:numPr>
        <w:tabs>
          <w:tab w:val="left" w:pos="900"/>
        </w:tabs>
        <w:rPr>
          <w:sz w:val="20"/>
        </w:rPr>
      </w:pPr>
      <w:r w:rsidRPr="000D0C55">
        <w:rPr>
          <w:sz w:val="20"/>
        </w:rPr>
        <w:t xml:space="preserve">Goosens A, Medeiros S. Allergic contact dermatitis from topical medicaments. </w:t>
      </w:r>
      <w:r w:rsidRPr="000D0C55">
        <w:rPr>
          <w:i/>
          <w:sz w:val="20"/>
        </w:rPr>
        <w:t>Expert Rev</w:t>
      </w:r>
      <w:r w:rsidR="00841269" w:rsidRPr="000D0C55">
        <w:rPr>
          <w:i/>
          <w:sz w:val="20"/>
        </w:rPr>
        <w:t>.</w:t>
      </w:r>
      <w:r w:rsidR="00172C41" w:rsidRPr="000D0C55">
        <w:rPr>
          <w:i/>
          <w:sz w:val="20"/>
        </w:rPr>
        <w:t xml:space="preserve"> </w:t>
      </w:r>
      <w:r w:rsidRPr="000D0C55">
        <w:rPr>
          <w:i/>
          <w:sz w:val="20"/>
        </w:rPr>
        <w:t>Dermatol</w:t>
      </w:r>
      <w:r w:rsidRPr="000D0C55">
        <w:rPr>
          <w:sz w:val="20"/>
        </w:rPr>
        <w:t xml:space="preserve"> 2008;</w:t>
      </w:r>
      <w:r w:rsidRPr="000D0C55">
        <w:rPr>
          <w:b/>
          <w:sz w:val="20"/>
        </w:rPr>
        <w:t>3</w:t>
      </w:r>
      <w:r w:rsidRPr="000D0C55">
        <w:rPr>
          <w:sz w:val="20"/>
        </w:rPr>
        <w:t>:37-42.</w:t>
      </w:r>
    </w:p>
    <w:p w:rsidR="00EA2E0C" w:rsidRPr="000D0C55" w:rsidRDefault="00EA2E0C" w:rsidP="000D0C55">
      <w:pPr>
        <w:pStyle w:val="BodyText"/>
        <w:numPr>
          <w:ilvl w:val="0"/>
          <w:numId w:val="17"/>
        </w:numPr>
        <w:tabs>
          <w:tab w:val="left" w:pos="900"/>
        </w:tabs>
        <w:rPr>
          <w:sz w:val="20"/>
        </w:rPr>
      </w:pPr>
      <w:r w:rsidRPr="000D0C55">
        <w:rPr>
          <w:sz w:val="20"/>
        </w:rPr>
        <w:t xml:space="preserve">Gonul M, Gul U. Detection of contact </w:t>
      </w:r>
      <w:r w:rsidR="003B2C9B" w:rsidRPr="000D0C55">
        <w:rPr>
          <w:sz w:val="20"/>
        </w:rPr>
        <w:t>hypersen</w:t>
      </w:r>
      <w:r w:rsidR="003B2C9B">
        <w:rPr>
          <w:sz w:val="20"/>
        </w:rPr>
        <w:t>si</w:t>
      </w:r>
      <w:r w:rsidR="003B2C9B" w:rsidRPr="000D0C55">
        <w:rPr>
          <w:sz w:val="20"/>
        </w:rPr>
        <w:t>tivity</w:t>
      </w:r>
      <w:r w:rsidRPr="000D0C55">
        <w:rPr>
          <w:sz w:val="20"/>
        </w:rPr>
        <w:t xml:space="preserve"> to corticosteroids in allergic contact dermatitis patients who do not respond to topical corticosteroids. </w:t>
      </w:r>
      <w:r w:rsidRPr="000D0C55">
        <w:rPr>
          <w:i/>
          <w:sz w:val="20"/>
        </w:rPr>
        <w:t xml:space="preserve">Contact </w:t>
      </w:r>
      <w:r w:rsidR="00841269" w:rsidRPr="000D0C55">
        <w:rPr>
          <w:i/>
          <w:sz w:val="20"/>
        </w:rPr>
        <w:t>D</w:t>
      </w:r>
      <w:r w:rsidRPr="000D0C55">
        <w:rPr>
          <w:i/>
          <w:sz w:val="20"/>
        </w:rPr>
        <w:t>ermatitis</w:t>
      </w:r>
      <w:r w:rsidR="00841269" w:rsidRPr="000D0C55">
        <w:rPr>
          <w:i/>
          <w:sz w:val="20"/>
        </w:rPr>
        <w:t xml:space="preserve">. </w:t>
      </w:r>
      <w:r w:rsidRPr="000D0C55">
        <w:rPr>
          <w:sz w:val="20"/>
        </w:rPr>
        <w:t>2005;</w:t>
      </w:r>
      <w:r w:rsidRPr="000D0C55">
        <w:rPr>
          <w:b/>
          <w:sz w:val="20"/>
        </w:rPr>
        <w:t>53</w:t>
      </w:r>
      <w:r w:rsidRPr="000D0C55">
        <w:rPr>
          <w:sz w:val="20"/>
        </w:rPr>
        <w:t>:67-70.</w:t>
      </w:r>
    </w:p>
    <w:p w:rsidR="0004201A" w:rsidRPr="000D0C55" w:rsidRDefault="00EA2E0C" w:rsidP="000D0C55">
      <w:pPr>
        <w:pStyle w:val="BodyText"/>
        <w:numPr>
          <w:ilvl w:val="0"/>
          <w:numId w:val="17"/>
        </w:numPr>
        <w:tabs>
          <w:tab w:val="left" w:pos="900"/>
        </w:tabs>
        <w:rPr>
          <w:sz w:val="20"/>
        </w:rPr>
      </w:pPr>
      <w:r w:rsidRPr="000D0C55">
        <w:rPr>
          <w:sz w:val="20"/>
        </w:rPr>
        <w:t xml:space="preserve">Dooms-Goossens A, Degreef H. Clinical aspects of contact allergy to corticosteroids. </w:t>
      </w:r>
      <w:r w:rsidRPr="000D0C55">
        <w:rPr>
          <w:i/>
          <w:sz w:val="20"/>
        </w:rPr>
        <w:t>Dermatology</w:t>
      </w:r>
      <w:r w:rsidRPr="000D0C55">
        <w:rPr>
          <w:sz w:val="20"/>
        </w:rPr>
        <w:t xml:space="preserve"> 1994;</w:t>
      </w:r>
      <w:r w:rsidRPr="000D0C55">
        <w:rPr>
          <w:b/>
          <w:sz w:val="20"/>
        </w:rPr>
        <w:t>189</w:t>
      </w:r>
      <w:r w:rsidRPr="000D0C55">
        <w:rPr>
          <w:sz w:val="20"/>
        </w:rPr>
        <w:t>:54-5.</w:t>
      </w:r>
    </w:p>
    <w:p w:rsidR="0004201A" w:rsidRPr="000D0C55" w:rsidRDefault="00EA2E0C" w:rsidP="000D0C55">
      <w:pPr>
        <w:pStyle w:val="BodyText"/>
        <w:numPr>
          <w:ilvl w:val="0"/>
          <w:numId w:val="17"/>
        </w:numPr>
        <w:tabs>
          <w:tab w:val="left" w:pos="900"/>
        </w:tabs>
        <w:rPr>
          <w:sz w:val="20"/>
        </w:rPr>
      </w:pPr>
      <w:r w:rsidRPr="000D0C55">
        <w:rPr>
          <w:color w:val="231F20"/>
          <w:sz w:val="20"/>
        </w:rPr>
        <w:t>Beck MH, Wilkinson SM</w:t>
      </w:r>
      <w:r w:rsidRPr="000D0C55">
        <w:rPr>
          <w:i/>
          <w:iCs/>
          <w:color w:val="231F20"/>
          <w:sz w:val="20"/>
        </w:rPr>
        <w:t xml:space="preserve">. </w:t>
      </w:r>
      <w:r w:rsidRPr="000D0C55">
        <w:rPr>
          <w:color w:val="231F20"/>
          <w:sz w:val="20"/>
        </w:rPr>
        <w:t xml:space="preserve">Contact dermatitis: allergic. </w:t>
      </w:r>
      <w:r w:rsidRPr="000D0C55">
        <w:rPr>
          <w:sz w:val="20"/>
        </w:rPr>
        <w:t xml:space="preserve">In: Burns T, Breathnach S, Cox N, Griffiths C, editors. </w:t>
      </w:r>
      <w:r w:rsidRPr="000D0C55">
        <w:rPr>
          <w:i/>
          <w:sz w:val="20"/>
        </w:rPr>
        <w:t>Rook</w:t>
      </w:r>
      <w:r w:rsidR="00841269" w:rsidRPr="000D0C55">
        <w:rPr>
          <w:i/>
          <w:sz w:val="20"/>
        </w:rPr>
        <w:t>’</w:t>
      </w:r>
      <w:r w:rsidRPr="000D0C55">
        <w:rPr>
          <w:i/>
          <w:sz w:val="20"/>
        </w:rPr>
        <w:t xml:space="preserve">s </w:t>
      </w:r>
      <w:r w:rsidR="00096938">
        <w:rPr>
          <w:i/>
          <w:sz w:val="20"/>
        </w:rPr>
        <w:t>t</w:t>
      </w:r>
      <w:r w:rsidRPr="000D0C55">
        <w:rPr>
          <w:i/>
          <w:sz w:val="20"/>
        </w:rPr>
        <w:t xml:space="preserve">extbook of </w:t>
      </w:r>
      <w:r w:rsidR="00096938">
        <w:rPr>
          <w:i/>
          <w:sz w:val="20"/>
        </w:rPr>
        <w:t>D</w:t>
      </w:r>
      <w:r w:rsidRPr="000D0C55">
        <w:rPr>
          <w:i/>
          <w:sz w:val="20"/>
        </w:rPr>
        <w:t>ermatology</w:t>
      </w:r>
      <w:r w:rsidR="00096938">
        <w:rPr>
          <w:i/>
          <w:sz w:val="20"/>
        </w:rPr>
        <w:t>,</w:t>
      </w:r>
      <w:r w:rsidRPr="000D0C55">
        <w:rPr>
          <w:i/>
          <w:sz w:val="20"/>
        </w:rPr>
        <w:t xml:space="preserve"> 8</w:t>
      </w:r>
      <w:r w:rsidRPr="000D0C55">
        <w:rPr>
          <w:i/>
          <w:sz w:val="20"/>
          <w:vertAlign w:val="superscript"/>
        </w:rPr>
        <w:t>th</w:t>
      </w:r>
      <w:r w:rsidRPr="000D0C55">
        <w:rPr>
          <w:i/>
          <w:sz w:val="20"/>
        </w:rPr>
        <w:t xml:space="preserve"> ed.</w:t>
      </w:r>
      <w:r w:rsidR="00172C41" w:rsidRPr="000D0C55">
        <w:rPr>
          <w:sz w:val="20"/>
        </w:rPr>
        <w:t xml:space="preserve"> </w:t>
      </w:r>
      <w:r w:rsidRPr="000D0C55">
        <w:rPr>
          <w:sz w:val="20"/>
        </w:rPr>
        <w:t>London</w:t>
      </w:r>
      <w:r w:rsidR="00FE182D">
        <w:rPr>
          <w:sz w:val="20"/>
        </w:rPr>
        <w:t>: Wiley-</w:t>
      </w:r>
      <w:bookmarkStart w:id="0" w:name="_GoBack"/>
      <w:bookmarkEnd w:id="0"/>
      <w:r w:rsidR="00841269" w:rsidRPr="000D0C55">
        <w:rPr>
          <w:sz w:val="20"/>
        </w:rPr>
        <w:t xml:space="preserve">Blackwell; </w:t>
      </w:r>
      <w:r w:rsidRPr="000D0C55">
        <w:rPr>
          <w:sz w:val="20"/>
        </w:rPr>
        <w:t>2008.</w:t>
      </w:r>
      <w:r w:rsidR="00841269" w:rsidRPr="000D0C55">
        <w:rPr>
          <w:sz w:val="20"/>
        </w:rPr>
        <w:t xml:space="preserve"> </w:t>
      </w:r>
      <w:r w:rsidRPr="000D0C55">
        <w:rPr>
          <w:sz w:val="20"/>
        </w:rPr>
        <w:t>p.26.87.</w:t>
      </w:r>
    </w:p>
    <w:p w:rsidR="0004201A" w:rsidRPr="000D0C55" w:rsidRDefault="00873337" w:rsidP="000D0C55">
      <w:pPr>
        <w:pStyle w:val="BodyText"/>
        <w:numPr>
          <w:ilvl w:val="0"/>
          <w:numId w:val="17"/>
        </w:numPr>
        <w:tabs>
          <w:tab w:val="left" w:pos="900"/>
        </w:tabs>
        <w:rPr>
          <w:sz w:val="20"/>
        </w:rPr>
      </w:pPr>
      <w:r w:rsidRPr="000D0C55">
        <w:rPr>
          <w:sz w:val="20"/>
        </w:rPr>
        <w:t>Smith HR, Armstrong DK, Wakelin SH</w:t>
      </w:r>
      <w:r w:rsidR="00841269" w:rsidRPr="000D0C55">
        <w:rPr>
          <w:sz w:val="20"/>
        </w:rPr>
        <w:t xml:space="preserve"> </w:t>
      </w:r>
      <w:r w:rsidR="00841269" w:rsidRPr="000D0C55">
        <w:rPr>
          <w:i/>
          <w:sz w:val="20"/>
        </w:rPr>
        <w:t>et al</w:t>
      </w:r>
      <w:r w:rsidRPr="000D0C55">
        <w:rPr>
          <w:sz w:val="20"/>
        </w:rPr>
        <w:t xml:space="preserve">. </w:t>
      </w:r>
      <w:r w:rsidR="00841269" w:rsidRPr="000D0C55">
        <w:rPr>
          <w:sz w:val="20"/>
        </w:rPr>
        <w:t>D</w:t>
      </w:r>
      <w:r w:rsidRPr="000D0C55">
        <w:rPr>
          <w:sz w:val="20"/>
        </w:rPr>
        <w:t xml:space="preserve">escriptive epidemiology of hand dermatitis at the St John’s contact dermatitis </w:t>
      </w:r>
      <w:r w:rsidRPr="000D0C55">
        <w:rPr>
          <w:sz w:val="20"/>
        </w:rPr>
        <w:lastRenderedPageBreak/>
        <w:t xml:space="preserve">clinic 1983-97. </w:t>
      </w:r>
      <w:r w:rsidRPr="000D0C55">
        <w:rPr>
          <w:i/>
          <w:sz w:val="20"/>
        </w:rPr>
        <w:t>Br J</w:t>
      </w:r>
      <w:r w:rsidR="00172C41" w:rsidRPr="000D0C55">
        <w:rPr>
          <w:sz w:val="20"/>
        </w:rPr>
        <w:t xml:space="preserve"> </w:t>
      </w:r>
      <w:r w:rsidRPr="000D0C55">
        <w:rPr>
          <w:i/>
          <w:sz w:val="20"/>
        </w:rPr>
        <w:t>Dermatol</w:t>
      </w:r>
      <w:r w:rsidR="00841269" w:rsidRPr="000D0C55">
        <w:rPr>
          <w:i/>
          <w:sz w:val="20"/>
        </w:rPr>
        <w:t>.</w:t>
      </w:r>
      <w:r w:rsidRPr="000D0C55">
        <w:rPr>
          <w:sz w:val="20"/>
        </w:rPr>
        <w:t xml:space="preserve"> 2000;</w:t>
      </w:r>
      <w:r w:rsidRPr="000D0C55">
        <w:rPr>
          <w:b/>
          <w:sz w:val="20"/>
        </w:rPr>
        <w:t>142</w:t>
      </w:r>
      <w:r w:rsidRPr="000D0C55">
        <w:rPr>
          <w:sz w:val="20"/>
        </w:rPr>
        <w:t>:284-7.</w:t>
      </w:r>
    </w:p>
    <w:p w:rsidR="0004201A" w:rsidRPr="000D0C55" w:rsidRDefault="00855FAB" w:rsidP="000D0C55">
      <w:pPr>
        <w:pStyle w:val="BodyText"/>
        <w:numPr>
          <w:ilvl w:val="0"/>
          <w:numId w:val="17"/>
        </w:numPr>
        <w:tabs>
          <w:tab w:val="left" w:pos="900"/>
        </w:tabs>
        <w:rPr>
          <w:sz w:val="20"/>
        </w:rPr>
      </w:pPr>
      <w:r w:rsidRPr="000D0C55">
        <w:rPr>
          <w:sz w:val="20"/>
        </w:rPr>
        <w:t xml:space="preserve">Meding B, Liden C, Berglind N. </w:t>
      </w:r>
      <w:r w:rsidR="003B2C9B">
        <w:rPr>
          <w:sz w:val="20"/>
        </w:rPr>
        <w:t>S</w:t>
      </w:r>
      <w:r w:rsidR="003B2C9B" w:rsidRPr="000D0C55">
        <w:rPr>
          <w:sz w:val="20"/>
        </w:rPr>
        <w:t>elf-diagnosed</w:t>
      </w:r>
      <w:r w:rsidRPr="000D0C55">
        <w:rPr>
          <w:sz w:val="20"/>
        </w:rPr>
        <w:t xml:space="preserve"> dermatitis in adults. Results from a </w:t>
      </w:r>
      <w:r w:rsidR="00670638" w:rsidRPr="000D0C55">
        <w:rPr>
          <w:sz w:val="20"/>
        </w:rPr>
        <w:t>p</w:t>
      </w:r>
      <w:r w:rsidRPr="000D0C55">
        <w:rPr>
          <w:sz w:val="20"/>
        </w:rPr>
        <w:t xml:space="preserve">opulation survey in Stockholm. </w:t>
      </w:r>
      <w:r w:rsidRPr="000D0C55">
        <w:rPr>
          <w:i/>
          <w:sz w:val="20"/>
        </w:rPr>
        <w:t>Contact Dermatitis</w:t>
      </w:r>
      <w:r w:rsidR="00841269" w:rsidRPr="000D0C55">
        <w:rPr>
          <w:i/>
          <w:sz w:val="20"/>
        </w:rPr>
        <w:t>.</w:t>
      </w:r>
      <w:r w:rsidRPr="000D0C55">
        <w:rPr>
          <w:sz w:val="20"/>
        </w:rPr>
        <w:t xml:space="preserve"> 2001;</w:t>
      </w:r>
      <w:r w:rsidRPr="000D0C55">
        <w:rPr>
          <w:b/>
          <w:sz w:val="20"/>
        </w:rPr>
        <w:t>45</w:t>
      </w:r>
      <w:r w:rsidRPr="000D0C55">
        <w:rPr>
          <w:sz w:val="20"/>
        </w:rPr>
        <w:t>:341-5.</w:t>
      </w:r>
    </w:p>
    <w:p w:rsidR="0004201A" w:rsidRPr="000D0C55" w:rsidRDefault="009802D2" w:rsidP="000D0C55">
      <w:pPr>
        <w:pStyle w:val="BodyText"/>
        <w:numPr>
          <w:ilvl w:val="0"/>
          <w:numId w:val="17"/>
        </w:numPr>
        <w:tabs>
          <w:tab w:val="left" w:pos="900"/>
        </w:tabs>
        <w:rPr>
          <w:sz w:val="20"/>
        </w:rPr>
      </w:pPr>
      <w:r w:rsidRPr="000D0C55">
        <w:rPr>
          <w:sz w:val="20"/>
        </w:rPr>
        <w:t xml:space="preserve">Meding B. Differences between the sexes with regard to skin related skin disease. </w:t>
      </w:r>
      <w:r w:rsidRPr="000D0C55">
        <w:rPr>
          <w:i/>
          <w:sz w:val="20"/>
        </w:rPr>
        <w:t>Contact Dermatitis</w:t>
      </w:r>
      <w:r w:rsidR="00841269" w:rsidRPr="000D0C55">
        <w:rPr>
          <w:i/>
          <w:sz w:val="20"/>
        </w:rPr>
        <w:t>.</w:t>
      </w:r>
      <w:r w:rsidRPr="000D0C55">
        <w:rPr>
          <w:i/>
          <w:sz w:val="20"/>
        </w:rPr>
        <w:t xml:space="preserve"> </w:t>
      </w:r>
      <w:r w:rsidRPr="000D0C55">
        <w:rPr>
          <w:sz w:val="20"/>
        </w:rPr>
        <w:t>2000;</w:t>
      </w:r>
      <w:r w:rsidRPr="000D0C55">
        <w:rPr>
          <w:b/>
          <w:sz w:val="20"/>
        </w:rPr>
        <w:t>43</w:t>
      </w:r>
      <w:r w:rsidRPr="000D0C55">
        <w:rPr>
          <w:sz w:val="20"/>
        </w:rPr>
        <w:t>:65-71.</w:t>
      </w:r>
    </w:p>
    <w:p w:rsidR="0004201A" w:rsidRPr="000D0C55" w:rsidRDefault="00670638" w:rsidP="000D0C55">
      <w:pPr>
        <w:pStyle w:val="BodyText"/>
        <w:numPr>
          <w:ilvl w:val="0"/>
          <w:numId w:val="17"/>
        </w:numPr>
        <w:tabs>
          <w:tab w:val="left" w:pos="900"/>
        </w:tabs>
        <w:rPr>
          <w:sz w:val="20"/>
        </w:rPr>
      </w:pPr>
      <w:r w:rsidRPr="000D0C55">
        <w:rPr>
          <w:color w:val="231F20"/>
          <w:sz w:val="20"/>
        </w:rPr>
        <w:t xml:space="preserve">Lin-Feng L, Guo J, Wang J. Environmental </w:t>
      </w:r>
      <w:r w:rsidR="000D0C55" w:rsidRPr="000D0C55">
        <w:rPr>
          <w:color w:val="231F20"/>
          <w:sz w:val="20"/>
        </w:rPr>
        <w:t>contact factors in eczema and the re</w:t>
      </w:r>
      <w:r w:rsidRPr="000D0C55">
        <w:rPr>
          <w:color w:val="231F20"/>
          <w:sz w:val="20"/>
        </w:rPr>
        <w:t xml:space="preserve">sults of patch testing Chinese patients with a modified European standard series of allergens. </w:t>
      </w:r>
      <w:r w:rsidRPr="000D0C55">
        <w:rPr>
          <w:i/>
          <w:color w:val="231F20"/>
          <w:sz w:val="20"/>
        </w:rPr>
        <w:t>Contact Dermatitis</w:t>
      </w:r>
      <w:r w:rsidR="000D0C55" w:rsidRPr="000D0C55">
        <w:rPr>
          <w:i/>
          <w:color w:val="231F20"/>
          <w:sz w:val="20"/>
        </w:rPr>
        <w:t>.</w:t>
      </w:r>
      <w:r w:rsidRPr="000D0C55">
        <w:rPr>
          <w:i/>
          <w:color w:val="231F20"/>
          <w:sz w:val="20"/>
        </w:rPr>
        <w:t xml:space="preserve"> </w:t>
      </w:r>
      <w:r w:rsidRPr="000D0C55">
        <w:rPr>
          <w:color w:val="231F20"/>
          <w:sz w:val="20"/>
        </w:rPr>
        <w:t>2004;</w:t>
      </w:r>
      <w:r w:rsidRPr="000D0C55">
        <w:rPr>
          <w:b/>
          <w:color w:val="231F20"/>
          <w:sz w:val="20"/>
        </w:rPr>
        <w:t>51</w:t>
      </w:r>
      <w:r w:rsidRPr="000D0C55">
        <w:rPr>
          <w:color w:val="231F20"/>
          <w:sz w:val="20"/>
        </w:rPr>
        <w:t>:22-5.</w:t>
      </w:r>
    </w:p>
    <w:p w:rsidR="0004201A" w:rsidRPr="000D0C55" w:rsidRDefault="00EA79B0" w:rsidP="000D0C55">
      <w:pPr>
        <w:pStyle w:val="BodyText"/>
        <w:numPr>
          <w:ilvl w:val="0"/>
          <w:numId w:val="17"/>
        </w:numPr>
        <w:tabs>
          <w:tab w:val="left" w:pos="900"/>
        </w:tabs>
        <w:rPr>
          <w:sz w:val="20"/>
        </w:rPr>
      </w:pPr>
      <w:r w:rsidRPr="000D0C55">
        <w:rPr>
          <w:sz w:val="20"/>
        </w:rPr>
        <w:t xml:space="preserve">Aneta L. European standard series patch test results from a contact dermatitis clinic in Israel during a 7 year period from 1998-2004. </w:t>
      </w:r>
      <w:r w:rsidRPr="000D0C55">
        <w:rPr>
          <w:i/>
          <w:sz w:val="20"/>
        </w:rPr>
        <w:t xml:space="preserve">Contact </w:t>
      </w:r>
      <w:r w:rsidR="000D0C55" w:rsidRPr="000D0C55">
        <w:rPr>
          <w:i/>
          <w:sz w:val="20"/>
        </w:rPr>
        <w:t>D</w:t>
      </w:r>
      <w:r w:rsidRPr="000D0C55">
        <w:rPr>
          <w:i/>
          <w:sz w:val="20"/>
        </w:rPr>
        <w:t>ermatitis</w:t>
      </w:r>
      <w:r w:rsidR="000D0C55" w:rsidRPr="000D0C55">
        <w:rPr>
          <w:i/>
          <w:sz w:val="20"/>
        </w:rPr>
        <w:t>.</w:t>
      </w:r>
      <w:r w:rsidRPr="000D0C55">
        <w:rPr>
          <w:sz w:val="20"/>
        </w:rPr>
        <w:t xml:space="preserve"> 2006;</w:t>
      </w:r>
      <w:r w:rsidRPr="000D0C55">
        <w:rPr>
          <w:b/>
          <w:sz w:val="20"/>
        </w:rPr>
        <w:t>55</w:t>
      </w:r>
      <w:r w:rsidRPr="000D0C55">
        <w:rPr>
          <w:sz w:val="20"/>
        </w:rPr>
        <w:t>:73-6.</w:t>
      </w:r>
    </w:p>
    <w:p w:rsidR="0004201A" w:rsidRPr="000D0C55" w:rsidRDefault="00EA79B0" w:rsidP="000D0C55">
      <w:pPr>
        <w:pStyle w:val="BodyText"/>
        <w:numPr>
          <w:ilvl w:val="0"/>
          <w:numId w:val="17"/>
        </w:numPr>
        <w:tabs>
          <w:tab w:val="left" w:pos="900"/>
        </w:tabs>
        <w:rPr>
          <w:sz w:val="20"/>
        </w:rPr>
      </w:pPr>
      <w:r w:rsidRPr="000D0C55">
        <w:rPr>
          <w:color w:val="231F20"/>
          <w:sz w:val="20"/>
        </w:rPr>
        <w:t xml:space="preserve">The ESSCA writing group. The European surveillance system of contact allergies (ESSCA): results of patch testing the standard series, 2004. </w:t>
      </w:r>
      <w:r w:rsidRPr="000D0C55">
        <w:rPr>
          <w:i/>
          <w:color w:val="231F20"/>
          <w:sz w:val="20"/>
        </w:rPr>
        <w:t xml:space="preserve">J Eur Acad Dermatol Venereol </w:t>
      </w:r>
      <w:r w:rsidRPr="000D0C55">
        <w:rPr>
          <w:color w:val="231F20"/>
          <w:sz w:val="20"/>
        </w:rPr>
        <w:t>2008;</w:t>
      </w:r>
      <w:r w:rsidRPr="000D0C55">
        <w:rPr>
          <w:b/>
          <w:color w:val="231F20"/>
          <w:sz w:val="20"/>
        </w:rPr>
        <w:t>22</w:t>
      </w:r>
      <w:r w:rsidRPr="000D0C55">
        <w:rPr>
          <w:color w:val="231F20"/>
          <w:sz w:val="20"/>
        </w:rPr>
        <w:t>:174-81.</w:t>
      </w:r>
    </w:p>
    <w:p w:rsidR="0004201A" w:rsidRPr="000D0C55" w:rsidRDefault="00EA79B0" w:rsidP="000D0C55">
      <w:pPr>
        <w:pStyle w:val="BodyText"/>
        <w:numPr>
          <w:ilvl w:val="0"/>
          <w:numId w:val="17"/>
        </w:numPr>
        <w:tabs>
          <w:tab w:val="left" w:pos="900"/>
        </w:tabs>
        <w:rPr>
          <w:sz w:val="20"/>
        </w:rPr>
      </w:pPr>
      <w:r w:rsidRPr="000D0C55">
        <w:rPr>
          <w:color w:val="231F20"/>
          <w:sz w:val="20"/>
        </w:rPr>
        <w:t>Lam WS, Chan LY, Ho SCK</w:t>
      </w:r>
      <w:r w:rsidR="00CF50E5">
        <w:rPr>
          <w:color w:val="231F20"/>
          <w:sz w:val="20"/>
        </w:rPr>
        <w:t xml:space="preserve"> </w:t>
      </w:r>
      <w:r w:rsidR="00CF50E5">
        <w:rPr>
          <w:i/>
          <w:color w:val="231F20"/>
          <w:sz w:val="20"/>
        </w:rPr>
        <w:t xml:space="preserve"> et al</w:t>
      </w:r>
      <w:r w:rsidRPr="000D0C55">
        <w:rPr>
          <w:color w:val="231F20"/>
          <w:sz w:val="20"/>
        </w:rPr>
        <w:t xml:space="preserve">. A retrospective study of 2585 patients patch tested with the European standard series in Hong Kong (1995-99). </w:t>
      </w:r>
      <w:r w:rsidRPr="000D0C55">
        <w:rPr>
          <w:i/>
          <w:color w:val="231F20"/>
          <w:sz w:val="20"/>
        </w:rPr>
        <w:t xml:space="preserve">Int J Dermatol </w:t>
      </w:r>
      <w:r w:rsidRPr="000D0C55">
        <w:rPr>
          <w:color w:val="231F20"/>
          <w:sz w:val="20"/>
        </w:rPr>
        <w:t>2008;</w:t>
      </w:r>
      <w:r w:rsidRPr="000D0C55">
        <w:rPr>
          <w:b/>
          <w:color w:val="231F20"/>
          <w:sz w:val="20"/>
        </w:rPr>
        <w:t>47</w:t>
      </w:r>
      <w:r w:rsidRPr="000D0C55">
        <w:rPr>
          <w:color w:val="231F20"/>
          <w:sz w:val="20"/>
        </w:rPr>
        <w:t>:128-33.</w:t>
      </w:r>
    </w:p>
    <w:p w:rsidR="0004201A" w:rsidRPr="000D0C55" w:rsidRDefault="00EA79B0" w:rsidP="000D0C55">
      <w:pPr>
        <w:pStyle w:val="BodyText"/>
        <w:numPr>
          <w:ilvl w:val="0"/>
          <w:numId w:val="17"/>
        </w:numPr>
        <w:tabs>
          <w:tab w:val="left" w:pos="900"/>
        </w:tabs>
        <w:rPr>
          <w:sz w:val="20"/>
        </w:rPr>
      </w:pPr>
      <w:r w:rsidRPr="000D0C55">
        <w:rPr>
          <w:color w:val="231F20"/>
          <w:sz w:val="20"/>
        </w:rPr>
        <w:t xml:space="preserve">Akbar TM. Allergic hand eczema: a clinico-aetiologic study. [Dissertation]. </w:t>
      </w:r>
      <w:r w:rsidR="00096938">
        <w:rPr>
          <w:color w:val="231F20"/>
          <w:sz w:val="20"/>
        </w:rPr>
        <w:t>Karachi: CPSP</w:t>
      </w:r>
      <w:proofErr w:type="gramStart"/>
      <w:r w:rsidR="00096938">
        <w:rPr>
          <w:color w:val="231F20"/>
          <w:sz w:val="20"/>
        </w:rPr>
        <w:t>;</w:t>
      </w:r>
      <w:r w:rsidRPr="000D0C55">
        <w:rPr>
          <w:color w:val="231F20"/>
          <w:sz w:val="20"/>
        </w:rPr>
        <w:t>1998</w:t>
      </w:r>
      <w:proofErr w:type="gramEnd"/>
      <w:r w:rsidRPr="000D0C55">
        <w:rPr>
          <w:color w:val="231F20"/>
          <w:sz w:val="20"/>
        </w:rPr>
        <w:t>.</w:t>
      </w:r>
      <w:r w:rsidR="000D0C55" w:rsidRPr="000D0C55">
        <w:rPr>
          <w:color w:val="231F20"/>
          <w:sz w:val="20"/>
        </w:rPr>
        <w:t xml:space="preserve"> </w:t>
      </w:r>
    </w:p>
    <w:p w:rsidR="0004201A" w:rsidRPr="000D0C55" w:rsidRDefault="00EA79B0" w:rsidP="000D0C55">
      <w:pPr>
        <w:pStyle w:val="BodyText"/>
        <w:numPr>
          <w:ilvl w:val="0"/>
          <w:numId w:val="17"/>
        </w:numPr>
        <w:tabs>
          <w:tab w:val="left" w:pos="900"/>
        </w:tabs>
        <w:rPr>
          <w:sz w:val="20"/>
        </w:rPr>
      </w:pPr>
      <w:r w:rsidRPr="000D0C55">
        <w:rPr>
          <w:color w:val="231F20"/>
          <w:sz w:val="20"/>
        </w:rPr>
        <w:t>Bajaj AK, Saraswat A, Mukhija G</w:t>
      </w:r>
      <w:r w:rsidR="000D0C55" w:rsidRPr="000D0C55">
        <w:rPr>
          <w:color w:val="231F20"/>
          <w:sz w:val="20"/>
        </w:rPr>
        <w:t xml:space="preserve"> </w:t>
      </w:r>
      <w:r w:rsidR="000D0C55" w:rsidRPr="000D0C55">
        <w:rPr>
          <w:i/>
          <w:color w:val="231F20"/>
          <w:sz w:val="20"/>
        </w:rPr>
        <w:t>et al</w:t>
      </w:r>
      <w:r w:rsidRPr="000D0C55">
        <w:rPr>
          <w:color w:val="231F20"/>
          <w:sz w:val="20"/>
        </w:rPr>
        <w:t xml:space="preserve">. Patch test experience with 1000 patients. </w:t>
      </w:r>
      <w:r w:rsidRPr="000D0C55">
        <w:rPr>
          <w:i/>
          <w:iCs/>
          <w:color w:val="231F20"/>
          <w:sz w:val="20"/>
        </w:rPr>
        <w:t xml:space="preserve">Indian J Dermatol Venereol Leprol </w:t>
      </w:r>
      <w:r w:rsidRPr="000D0C55">
        <w:rPr>
          <w:iCs/>
          <w:color w:val="231F20"/>
          <w:sz w:val="20"/>
        </w:rPr>
        <w:t>2007;</w:t>
      </w:r>
      <w:r w:rsidRPr="000D0C55">
        <w:rPr>
          <w:b/>
          <w:iCs/>
          <w:color w:val="231F20"/>
          <w:sz w:val="20"/>
        </w:rPr>
        <w:t>73</w:t>
      </w:r>
      <w:r w:rsidRPr="000D0C55">
        <w:rPr>
          <w:iCs/>
          <w:color w:val="231F20"/>
          <w:sz w:val="20"/>
        </w:rPr>
        <w:t>:313-8.</w:t>
      </w:r>
    </w:p>
    <w:p w:rsidR="0004201A" w:rsidRPr="000D0C55" w:rsidRDefault="00EA79B0" w:rsidP="000D0C55">
      <w:pPr>
        <w:pStyle w:val="BodyText"/>
        <w:numPr>
          <w:ilvl w:val="0"/>
          <w:numId w:val="17"/>
        </w:numPr>
        <w:tabs>
          <w:tab w:val="left" w:pos="900"/>
        </w:tabs>
        <w:rPr>
          <w:sz w:val="20"/>
        </w:rPr>
      </w:pPr>
      <w:r w:rsidRPr="000D0C55">
        <w:rPr>
          <w:color w:val="231F20"/>
          <w:sz w:val="20"/>
        </w:rPr>
        <w:lastRenderedPageBreak/>
        <w:t>Davis MDP, Scalf LA, Yiannias JA</w:t>
      </w:r>
      <w:r w:rsidR="000D0C55" w:rsidRPr="000D0C55">
        <w:rPr>
          <w:color w:val="231F20"/>
          <w:sz w:val="20"/>
        </w:rPr>
        <w:t xml:space="preserve"> </w:t>
      </w:r>
      <w:r w:rsidR="000D0C55" w:rsidRPr="000D0C55">
        <w:rPr>
          <w:i/>
          <w:color w:val="231F20"/>
          <w:sz w:val="20"/>
        </w:rPr>
        <w:t>et al</w:t>
      </w:r>
      <w:r w:rsidRPr="000D0C55">
        <w:rPr>
          <w:color w:val="231F20"/>
          <w:sz w:val="20"/>
        </w:rPr>
        <w:t xml:space="preserve">. Changing trends and allergens in the patch test standard series. A Mayo Clinic 5-year retrospective review, January 1, 2001, through December 31, 2005. </w:t>
      </w:r>
      <w:r w:rsidRPr="000D0C55">
        <w:rPr>
          <w:i/>
          <w:color w:val="231F20"/>
          <w:sz w:val="20"/>
        </w:rPr>
        <w:t>Arch Dermatol</w:t>
      </w:r>
      <w:r w:rsidR="000D0C55" w:rsidRPr="000D0C55">
        <w:rPr>
          <w:i/>
          <w:color w:val="231F20"/>
          <w:sz w:val="20"/>
        </w:rPr>
        <w:t>.</w:t>
      </w:r>
      <w:r w:rsidR="00172C41" w:rsidRPr="000D0C55">
        <w:rPr>
          <w:color w:val="231F20"/>
          <w:sz w:val="20"/>
        </w:rPr>
        <w:t xml:space="preserve"> </w:t>
      </w:r>
      <w:r w:rsidRPr="000D0C55">
        <w:rPr>
          <w:color w:val="231F20"/>
          <w:sz w:val="20"/>
        </w:rPr>
        <w:t>2008;</w:t>
      </w:r>
      <w:r w:rsidRPr="000D0C55">
        <w:rPr>
          <w:b/>
          <w:color w:val="231F20"/>
          <w:sz w:val="20"/>
        </w:rPr>
        <w:t>144</w:t>
      </w:r>
      <w:r w:rsidRPr="000D0C55">
        <w:rPr>
          <w:color w:val="231F20"/>
          <w:sz w:val="20"/>
        </w:rPr>
        <w:t>:67-7</w:t>
      </w:r>
      <w:r w:rsidR="0004201A" w:rsidRPr="000D0C55">
        <w:rPr>
          <w:sz w:val="20"/>
        </w:rPr>
        <w:t>.</w:t>
      </w:r>
    </w:p>
    <w:p w:rsidR="0004201A" w:rsidRPr="000D0C55" w:rsidRDefault="00670638" w:rsidP="000D0C55">
      <w:pPr>
        <w:pStyle w:val="BodyText"/>
        <w:numPr>
          <w:ilvl w:val="0"/>
          <w:numId w:val="17"/>
        </w:numPr>
        <w:tabs>
          <w:tab w:val="left" w:pos="900"/>
        </w:tabs>
        <w:rPr>
          <w:sz w:val="20"/>
        </w:rPr>
      </w:pPr>
      <w:r w:rsidRPr="000D0C55">
        <w:rPr>
          <w:sz w:val="20"/>
        </w:rPr>
        <w:t>Khan MS, Rani Z, Ahmed ML, Hussain I, Kazmi AH. Evaluation and pattern of nickel dermatitis in patients with allergic contact dermatitis</w:t>
      </w:r>
      <w:r w:rsidRPr="000D0C55">
        <w:rPr>
          <w:i/>
          <w:sz w:val="20"/>
        </w:rPr>
        <w:t>. J Pak Assoc Dermatol</w:t>
      </w:r>
      <w:r w:rsidR="000D0C55" w:rsidRPr="000D0C55">
        <w:rPr>
          <w:i/>
          <w:sz w:val="20"/>
        </w:rPr>
        <w:t>.</w:t>
      </w:r>
      <w:r w:rsidRPr="000D0C55">
        <w:rPr>
          <w:sz w:val="20"/>
        </w:rPr>
        <w:t xml:space="preserve"> 2005;</w:t>
      </w:r>
      <w:r w:rsidRPr="000D0C55">
        <w:rPr>
          <w:b/>
          <w:sz w:val="20"/>
        </w:rPr>
        <w:t>15</w:t>
      </w:r>
      <w:r w:rsidRPr="000D0C55">
        <w:rPr>
          <w:sz w:val="20"/>
        </w:rPr>
        <w:t>:136-9.</w:t>
      </w:r>
    </w:p>
    <w:p w:rsidR="0004201A" w:rsidRPr="000D0C55" w:rsidRDefault="00670638" w:rsidP="000D0C55">
      <w:pPr>
        <w:pStyle w:val="BodyText"/>
        <w:numPr>
          <w:ilvl w:val="0"/>
          <w:numId w:val="17"/>
        </w:numPr>
        <w:tabs>
          <w:tab w:val="left" w:pos="900"/>
        </w:tabs>
        <w:rPr>
          <w:sz w:val="20"/>
        </w:rPr>
      </w:pPr>
      <w:r w:rsidRPr="000D0C55">
        <w:rPr>
          <w:sz w:val="20"/>
        </w:rPr>
        <w:t xml:space="preserve">Davis MD, El-Azhary RA, Farmer SA. Results of patch testing to a corticosteroids series: a retrospective review of 1188 patients during 6 years at Mayo clinic. </w:t>
      </w:r>
      <w:r w:rsidRPr="000D0C55">
        <w:rPr>
          <w:i/>
          <w:sz w:val="20"/>
        </w:rPr>
        <w:t>J Am Acad Dermatol</w:t>
      </w:r>
      <w:r w:rsidR="000D0C55" w:rsidRPr="000D0C55">
        <w:rPr>
          <w:i/>
          <w:sz w:val="20"/>
        </w:rPr>
        <w:t>.</w:t>
      </w:r>
      <w:r w:rsidR="00172C41" w:rsidRPr="000D0C55">
        <w:rPr>
          <w:sz w:val="20"/>
        </w:rPr>
        <w:t xml:space="preserve"> </w:t>
      </w:r>
      <w:r w:rsidRPr="000D0C55">
        <w:rPr>
          <w:sz w:val="20"/>
        </w:rPr>
        <w:t>2007;</w:t>
      </w:r>
      <w:r w:rsidRPr="000D0C55">
        <w:rPr>
          <w:b/>
          <w:sz w:val="20"/>
        </w:rPr>
        <w:t>56</w:t>
      </w:r>
      <w:r w:rsidRPr="000D0C55">
        <w:rPr>
          <w:sz w:val="20"/>
        </w:rPr>
        <w:t>:921-7.</w:t>
      </w:r>
    </w:p>
    <w:p w:rsidR="0004201A" w:rsidRPr="000D0C55" w:rsidRDefault="009802D2" w:rsidP="000D0C55">
      <w:pPr>
        <w:pStyle w:val="BodyText"/>
        <w:numPr>
          <w:ilvl w:val="0"/>
          <w:numId w:val="17"/>
        </w:numPr>
        <w:tabs>
          <w:tab w:val="left" w:pos="900"/>
        </w:tabs>
        <w:rPr>
          <w:sz w:val="20"/>
        </w:rPr>
      </w:pPr>
      <w:r w:rsidRPr="000D0C55">
        <w:rPr>
          <w:color w:val="231F20"/>
          <w:sz w:val="20"/>
        </w:rPr>
        <w:t xml:space="preserve">Akyol A, Boyvat A, Peksari Y, Gurgey E. Contact sensitivity to standard series allergens in 1038 patients with contact dermatitis in Turkey. </w:t>
      </w:r>
      <w:r w:rsidRPr="000D0C55">
        <w:rPr>
          <w:i/>
          <w:color w:val="231F20"/>
          <w:sz w:val="20"/>
        </w:rPr>
        <w:t>Contact Dermatitis</w:t>
      </w:r>
      <w:r w:rsidR="000D0C55" w:rsidRPr="000D0C55">
        <w:rPr>
          <w:i/>
          <w:color w:val="231F20"/>
          <w:sz w:val="20"/>
        </w:rPr>
        <w:t>.</w:t>
      </w:r>
      <w:r w:rsidRPr="000D0C55">
        <w:rPr>
          <w:i/>
          <w:color w:val="231F20"/>
          <w:sz w:val="20"/>
        </w:rPr>
        <w:t xml:space="preserve"> </w:t>
      </w:r>
      <w:r w:rsidRPr="000D0C55">
        <w:rPr>
          <w:color w:val="231F20"/>
          <w:sz w:val="20"/>
        </w:rPr>
        <w:t>2005;</w:t>
      </w:r>
      <w:r w:rsidRPr="000D0C55">
        <w:rPr>
          <w:b/>
          <w:color w:val="231F20"/>
          <w:sz w:val="20"/>
        </w:rPr>
        <w:t>52</w:t>
      </w:r>
      <w:r w:rsidRPr="000D0C55">
        <w:rPr>
          <w:color w:val="231F20"/>
          <w:sz w:val="20"/>
        </w:rPr>
        <w:t>:333-7.</w:t>
      </w:r>
    </w:p>
    <w:p w:rsidR="0004201A" w:rsidRPr="000D0C55" w:rsidRDefault="009802D2" w:rsidP="000D0C55">
      <w:pPr>
        <w:pStyle w:val="BodyText"/>
        <w:numPr>
          <w:ilvl w:val="0"/>
          <w:numId w:val="17"/>
        </w:numPr>
        <w:tabs>
          <w:tab w:val="left" w:pos="900"/>
        </w:tabs>
        <w:rPr>
          <w:sz w:val="20"/>
        </w:rPr>
      </w:pPr>
      <w:r w:rsidRPr="000D0C55">
        <w:rPr>
          <w:color w:val="231F20"/>
          <w:sz w:val="20"/>
        </w:rPr>
        <w:t xml:space="preserve">Roto P, Sainio H, Reunala T, Laippala P. Addition of ferrous sulfate to cement and risk of chromium dermatitis among construction workers. </w:t>
      </w:r>
      <w:r w:rsidRPr="000D0C55">
        <w:rPr>
          <w:i/>
          <w:color w:val="231F20"/>
          <w:sz w:val="20"/>
        </w:rPr>
        <w:t>Contact Dermatitis</w:t>
      </w:r>
      <w:r w:rsidR="000D0C55" w:rsidRPr="000D0C55">
        <w:rPr>
          <w:i/>
          <w:color w:val="231F20"/>
          <w:sz w:val="20"/>
        </w:rPr>
        <w:t>.</w:t>
      </w:r>
      <w:r w:rsidRPr="000D0C55">
        <w:rPr>
          <w:color w:val="231F20"/>
          <w:sz w:val="20"/>
        </w:rPr>
        <w:t xml:space="preserve"> 1996;</w:t>
      </w:r>
      <w:r w:rsidRPr="000D0C55">
        <w:rPr>
          <w:b/>
          <w:color w:val="231F20"/>
          <w:sz w:val="20"/>
        </w:rPr>
        <w:t>34</w:t>
      </w:r>
      <w:r w:rsidRPr="000D0C55">
        <w:rPr>
          <w:color w:val="231F20"/>
          <w:sz w:val="20"/>
        </w:rPr>
        <w:t>:43-50.</w:t>
      </w:r>
    </w:p>
    <w:p w:rsidR="0004201A" w:rsidRPr="000D0C55" w:rsidRDefault="009802D2" w:rsidP="000D0C55">
      <w:pPr>
        <w:pStyle w:val="BodyText"/>
        <w:numPr>
          <w:ilvl w:val="0"/>
          <w:numId w:val="17"/>
        </w:numPr>
        <w:tabs>
          <w:tab w:val="left" w:pos="900"/>
        </w:tabs>
        <w:rPr>
          <w:sz w:val="20"/>
        </w:rPr>
      </w:pPr>
      <w:r w:rsidRPr="000D0C55">
        <w:rPr>
          <w:color w:val="231F20"/>
          <w:sz w:val="20"/>
          <w:lang w:val="es-ES"/>
        </w:rPr>
        <w:t xml:space="preserve">Lutz ME, El-Azhary RA, Gibson LE, Fransway AF. </w:t>
      </w:r>
      <w:r w:rsidRPr="000D0C55">
        <w:rPr>
          <w:color w:val="231F20"/>
          <w:sz w:val="20"/>
        </w:rPr>
        <w:t xml:space="preserve">Contact </w:t>
      </w:r>
      <w:r w:rsidR="003B2C9B" w:rsidRPr="000D0C55">
        <w:rPr>
          <w:color w:val="231F20"/>
          <w:sz w:val="20"/>
        </w:rPr>
        <w:t>hypersensitivity</w:t>
      </w:r>
      <w:r w:rsidRPr="000D0C55">
        <w:rPr>
          <w:color w:val="231F20"/>
          <w:sz w:val="20"/>
        </w:rPr>
        <w:t xml:space="preserve"> to tixocortol pivalate. </w:t>
      </w:r>
      <w:r w:rsidRPr="000D0C55">
        <w:rPr>
          <w:i/>
          <w:color w:val="231F20"/>
          <w:sz w:val="20"/>
        </w:rPr>
        <w:t xml:space="preserve">J Am Acad </w:t>
      </w:r>
      <w:r w:rsidR="000D0C55" w:rsidRPr="000D0C55">
        <w:rPr>
          <w:i/>
          <w:color w:val="231F20"/>
          <w:sz w:val="20"/>
        </w:rPr>
        <w:t>D</w:t>
      </w:r>
      <w:r w:rsidRPr="000D0C55">
        <w:rPr>
          <w:i/>
          <w:color w:val="231F20"/>
          <w:sz w:val="20"/>
        </w:rPr>
        <w:t>ermatol</w:t>
      </w:r>
      <w:r w:rsidR="000D0C55" w:rsidRPr="000D0C55">
        <w:rPr>
          <w:i/>
          <w:color w:val="231F20"/>
          <w:sz w:val="20"/>
        </w:rPr>
        <w:t>.</w:t>
      </w:r>
      <w:r w:rsidRPr="000D0C55">
        <w:rPr>
          <w:color w:val="231F20"/>
          <w:sz w:val="20"/>
        </w:rPr>
        <w:t xml:space="preserve"> 1998;</w:t>
      </w:r>
      <w:r w:rsidRPr="000D0C55">
        <w:rPr>
          <w:b/>
          <w:color w:val="231F20"/>
          <w:sz w:val="20"/>
        </w:rPr>
        <w:t>38</w:t>
      </w:r>
      <w:r w:rsidRPr="000D0C55">
        <w:rPr>
          <w:color w:val="231F20"/>
          <w:sz w:val="20"/>
        </w:rPr>
        <w:t>:691-5.</w:t>
      </w:r>
    </w:p>
    <w:p w:rsidR="009802D2" w:rsidRPr="000D0C55" w:rsidRDefault="009802D2" w:rsidP="000D0C55">
      <w:pPr>
        <w:pStyle w:val="BodyText"/>
        <w:numPr>
          <w:ilvl w:val="0"/>
          <w:numId w:val="17"/>
        </w:numPr>
        <w:tabs>
          <w:tab w:val="left" w:pos="900"/>
        </w:tabs>
        <w:rPr>
          <w:sz w:val="20"/>
        </w:rPr>
      </w:pPr>
      <w:r w:rsidRPr="000D0C55">
        <w:rPr>
          <w:color w:val="231F20"/>
          <w:sz w:val="20"/>
        </w:rPr>
        <w:t xml:space="preserve">Frankild S, Lepoittevin JP, Kreilgaard B, Andersen KE. Tixocortol pivalate contact allergy in the GMPT: frequency and cross-reactivity. </w:t>
      </w:r>
      <w:r w:rsidRPr="000D0C55">
        <w:rPr>
          <w:i/>
          <w:color w:val="231F20"/>
          <w:sz w:val="20"/>
        </w:rPr>
        <w:t>Contact Dermatitis</w:t>
      </w:r>
      <w:r w:rsidR="000D0C55" w:rsidRPr="000D0C55">
        <w:rPr>
          <w:i/>
          <w:color w:val="231F20"/>
          <w:sz w:val="20"/>
        </w:rPr>
        <w:t>.</w:t>
      </w:r>
      <w:r w:rsidRPr="000D0C55">
        <w:rPr>
          <w:color w:val="231F20"/>
          <w:sz w:val="20"/>
        </w:rPr>
        <w:t xml:space="preserve"> 2001;</w:t>
      </w:r>
      <w:r w:rsidRPr="000D0C55">
        <w:rPr>
          <w:b/>
          <w:color w:val="231F20"/>
          <w:sz w:val="20"/>
        </w:rPr>
        <w:t>44</w:t>
      </w:r>
      <w:r w:rsidRPr="000D0C55">
        <w:rPr>
          <w:color w:val="231F20"/>
          <w:sz w:val="20"/>
        </w:rPr>
        <w:t>:18-22.</w:t>
      </w:r>
    </w:p>
    <w:p w:rsidR="009B3226" w:rsidRDefault="009B3226" w:rsidP="00EA79B0">
      <w:pPr>
        <w:tabs>
          <w:tab w:val="left" w:pos="900"/>
        </w:tabs>
        <w:spacing w:line="480" w:lineRule="auto"/>
        <w:jc w:val="both"/>
        <w:rPr>
          <w:color w:val="231F20"/>
        </w:rPr>
        <w:sectPr w:rsidR="009B3226" w:rsidSect="009B3226">
          <w:type w:val="continuous"/>
          <w:pgSz w:w="12240" w:h="15840"/>
          <w:pgMar w:top="1440" w:right="1440" w:bottom="1440" w:left="1440" w:header="720" w:footer="720" w:gutter="0"/>
          <w:cols w:num="2" w:space="720"/>
          <w:docGrid w:linePitch="360"/>
        </w:sectPr>
      </w:pPr>
    </w:p>
    <w:p w:rsidR="00670638" w:rsidRPr="004449D0" w:rsidRDefault="00670638" w:rsidP="00EA79B0">
      <w:pPr>
        <w:tabs>
          <w:tab w:val="left" w:pos="900"/>
        </w:tabs>
        <w:spacing w:line="480" w:lineRule="auto"/>
        <w:jc w:val="both"/>
        <w:rPr>
          <w:color w:val="231F20"/>
        </w:rPr>
      </w:pPr>
    </w:p>
    <w:sectPr w:rsidR="00670638" w:rsidRPr="004449D0" w:rsidSect="009B322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935" w:rsidRDefault="00196935" w:rsidP="0078188E">
      <w:r>
        <w:separator/>
      </w:r>
    </w:p>
  </w:endnote>
  <w:endnote w:type="continuationSeparator" w:id="0">
    <w:p w:rsidR="00196935" w:rsidRDefault="00196935" w:rsidP="00781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561674"/>
      <w:docPartObj>
        <w:docPartGallery w:val="Page Numbers (Bottom of Page)"/>
        <w:docPartUnique/>
      </w:docPartObj>
    </w:sdtPr>
    <w:sdtEndPr>
      <w:rPr>
        <w:noProof/>
        <w:sz w:val="20"/>
      </w:rPr>
    </w:sdtEndPr>
    <w:sdtContent>
      <w:p w:rsidR="004F202B" w:rsidRPr="004F202B" w:rsidRDefault="004F202B">
        <w:pPr>
          <w:pStyle w:val="Footer"/>
          <w:jc w:val="right"/>
          <w:rPr>
            <w:sz w:val="20"/>
          </w:rPr>
        </w:pPr>
        <w:r w:rsidRPr="004F202B">
          <w:rPr>
            <w:sz w:val="20"/>
          </w:rPr>
          <w:fldChar w:fldCharType="begin"/>
        </w:r>
        <w:r w:rsidRPr="004F202B">
          <w:rPr>
            <w:sz w:val="20"/>
          </w:rPr>
          <w:instrText xml:space="preserve"> PAGE   \* MERGEFORMAT </w:instrText>
        </w:r>
        <w:r w:rsidRPr="004F202B">
          <w:rPr>
            <w:sz w:val="20"/>
          </w:rPr>
          <w:fldChar w:fldCharType="separate"/>
        </w:r>
        <w:r w:rsidR="00FE182D">
          <w:rPr>
            <w:noProof/>
            <w:sz w:val="20"/>
          </w:rPr>
          <w:t>293</w:t>
        </w:r>
        <w:r w:rsidRPr="004F202B">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935" w:rsidRDefault="00196935" w:rsidP="0078188E">
      <w:r>
        <w:separator/>
      </w:r>
    </w:p>
  </w:footnote>
  <w:footnote w:type="continuationSeparator" w:id="0">
    <w:p w:rsidR="00196935" w:rsidRDefault="00196935" w:rsidP="00781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02B" w:rsidRPr="00906E0E" w:rsidRDefault="004F202B" w:rsidP="004F202B">
    <w:pPr>
      <w:pStyle w:val="Header"/>
      <w:rPr>
        <w:sz w:val="20"/>
      </w:rPr>
    </w:pPr>
    <w:r w:rsidRPr="00906E0E">
      <w:rPr>
        <w:i/>
        <w:sz w:val="20"/>
      </w:rPr>
      <w:t xml:space="preserve">Journal of Pakistan Association of Dermatologists </w:t>
    </w:r>
    <w:r w:rsidRPr="00906E0E">
      <w:rPr>
        <w:sz w:val="20"/>
      </w:rPr>
      <w:t>2013;</w:t>
    </w:r>
    <w:r>
      <w:rPr>
        <w:b/>
        <w:sz w:val="20"/>
      </w:rPr>
      <w:t>23 (3</w:t>
    </w:r>
    <w:r w:rsidRPr="00906E0E">
      <w:rPr>
        <w:b/>
        <w:sz w:val="20"/>
      </w:rPr>
      <w:t>)</w:t>
    </w:r>
    <w:r>
      <w:rPr>
        <w:sz w:val="20"/>
      </w:rPr>
      <w:t>:289</w:t>
    </w:r>
    <w:r w:rsidRPr="00906E0E">
      <w:rPr>
        <w:sz w:val="20"/>
      </w:rPr>
      <w:t>-</w:t>
    </w:r>
    <w:r>
      <w:rPr>
        <w:sz w:val="20"/>
      </w:rPr>
      <w:t>2</w:t>
    </w:r>
    <w:r w:rsidR="00593748">
      <w:rPr>
        <w:sz w:val="20"/>
      </w:rPr>
      <w:t>94</w:t>
    </w:r>
    <w:r w:rsidRPr="00906E0E">
      <w:rPr>
        <w:sz w:val="20"/>
      </w:rPr>
      <w:t>.</w:t>
    </w:r>
  </w:p>
  <w:p w:rsidR="004F202B" w:rsidRDefault="004F20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F0829"/>
    <w:multiLevelType w:val="hybridMultilevel"/>
    <w:tmpl w:val="0A884998"/>
    <w:lvl w:ilvl="0" w:tplc="DD80F956">
      <w:start w:val="1"/>
      <w:numFmt w:val="decimal"/>
      <w:lvlText w:val="%1."/>
      <w:lvlJc w:val="left"/>
      <w:pPr>
        <w:tabs>
          <w:tab w:val="num" w:pos="360"/>
        </w:tabs>
        <w:ind w:left="360" w:hanging="360"/>
      </w:pPr>
      <w:rPr>
        <w:rFonts w:ascii="Times New Roman" w:eastAsia="Times New Roman" w:hAnsi="Times New Roman" w:cs="Times New Roman"/>
        <w:b w:val="0"/>
        <w:i w:val="0"/>
        <w:iCs w:val="0"/>
        <w:sz w:val="28"/>
        <w:szCs w:val="28"/>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
    <w:nsid w:val="0F530BC2"/>
    <w:multiLevelType w:val="hybridMultilevel"/>
    <w:tmpl w:val="B1385BBA"/>
    <w:lvl w:ilvl="0" w:tplc="61BAA14E">
      <w:start w:val="1"/>
      <w:numFmt w:val="decimal"/>
      <w:lvlText w:val="%1."/>
      <w:lvlJc w:val="left"/>
      <w:pPr>
        <w:tabs>
          <w:tab w:val="num" w:pos="900"/>
        </w:tabs>
        <w:ind w:left="900" w:hanging="360"/>
      </w:pPr>
      <w:rPr>
        <w:rFonts w:hint="default"/>
        <w:i w:val="0"/>
        <w:i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485192"/>
    <w:multiLevelType w:val="hybridMultilevel"/>
    <w:tmpl w:val="37F29BB4"/>
    <w:lvl w:ilvl="0" w:tplc="BFD4ABEC">
      <w:start w:val="1"/>
      <w:numFmt w:val="decimal"/>
      <w:lvlText w:val="%1."/>
      <w:lvlJc w:val="left"/>
      <w:pPr>
        <w:ind w:left="720" w:hanging="360"/>
      </w:pPr>
      <w:rPr>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7A69FB"/>
    <w:multiLevelType w:val="hybridMultilevel"/>
    <w:tmpl w:val="FE361D6A"/>
    <w:lvl w:ilvl="0" w:tplc="BC1E4D8A">
      <w:start w:val="15"/>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
    <w:nsid w:val="270515B0"/>
    <w:multiLevelType w:val="hybridMultilevel"/>
    <w:tmpl w:val="EEB2B862"/>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5B3193"/>
    <w:multiLevelType w:val="hybridMultilevel"/>
    <w:tmpl w:val="B3880B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5717A98"/>
    <w:multiLevelType w:val="hybridMultilevel"/>
    <w:tmpl w:val="66BA4F2E"/>
    <w:lvl w:ilvl="0" w:tplc="0409000F">
      <w:start w:val="1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27C20F8"/>
    <w:multiLevelType w:val="hybridMultilevel"/>
    <w:tmpl w:val="B1385BBA"/>
    <w:lvl w:ilvl="0" w:tplc="61BAA14E">
      <w:start w:val="1"/>
      <w:numFmt w:val="decimal"/>
      <w:lvlText w:val="%1."/>
      <w:lvlJc w:val="left"/>
      <w:pPr>
        <w:tabs>
          <w:tab w:val="num" w:pos="900"/>
        </w:tabs>
        <w:ind w:left="900" w:hanging="360"/>
      </w:pPr>
      <w:rPr>
        <w:rFonts w:hint="default"/>
        <w:i w:val="0"/>
        <w:i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30A7B58"/>
    <w:multiLevelType w:val="hybridMultilevel"/>
    <w:tmpl w:val="53B263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2355BA"/>
    <w:multiLevelType w:val="hybridMultilevel"/>
    <w:tmpl w:val="1116FD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588773CB"/>
    <w:multiLevelType w:val="hybridMultilevel"/>
    <w:tmpl w:val="7AB629C6"/>
    <w:lvl w:ilvl="0" w:tplc="A412C836">
      <w:start w:val="1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8E67E7F"/>
    <w:multiLevelType w:val="hybridMultilevel"/>
    <w:tmpl w:val="5BC06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9C2CE2"/>
    <w:multiLevelType w:val="hybridMultilevel"/>
    <w:tmpl w:val="60921A22"/>
    <w:lvl w:ilvl="0" w:tplc="0409000F">
      <w:start w:val="1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FE906BD"/>
    <w:multiLevelType w:val="hybridMultilevel"/>
    <w:tmpl w:val="44BE93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8B6798"/>
    <w:multiLevelType w:val="hybridMultilevel"/>
    <w:tmpl w:val="5A76D53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7B0C97"/>
    <w:multiLevelType w:val="hybridMultilevel"/>
    <w:tmpl w:val="B7CA6680"/>
    <w:lvl w:ilvl="0" w:tplc="1AD6DB96">
      <w:start w:val="19"/>
      <w:numFmt w:val="decimal"/>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C8D0F34"/>
    <w:multiLevelType w:val="hybridMultilevel"/>
    <w:tmpl w:val="7924FA5A"/>
    <w:lvl w:ilvl="0" w:tplc="8F9A9F9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5"/>
  </w:num>
  <w:num w:numId="2">
    <w:abstractNumId w:val="9"/>
  </w:num>
  <w:num w:numId="3">
    <w:abstractNumId w:val="0"/>
  </w:num>
  <w:num w:numId="4">
    <w:abstractNumId w:val="1"/>
  </w:num>
  <w:num w:numId="5">
    <w:abstractNumId w:val="7"/>
  </w:num>
  <w:num w:numId="6">
    <w:abstractNumId w:val="15"/>
  </w:num>
  <w:num w:numId="7">
    <w:abstractNumId w:val="6"/>
  </w:num>
  <w:num w:numId="8">
    <w:abstractNumId w:val="11"/>
  </w:num>
  <w:num w:numId="9">
    <w:abstractNumId w:val="10"/>
  </w:num>
  <w:num w:numId="10">
    <w:abstractNumId w:val="12"/>
  </w:num>
  <w:num w:numId="11">
    <w:abstractNumId w:val="14"/>
  </w:num>
  <w:num w:numId="12">
    <w:abstractNumId w:val="4"/>
  </w:num>
  <w:num w:numId="13">
    <w:abstractNumId w:val="3"/>
  </w:num>
  <w:num w:numId="14">
    <w:abstractNumId w:val="16"/>
  </w:num>
  <w:num w:numId="15">
    <w:abstractNumId w:val="13"/>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847F0"/>
    <w:rsid w:val="0002394F"/>
    <w:rsid w:val="00036D61"/>
    <w:rsid w:val="0004201A"/>
    <w:rsid w:val="00073ADD"/>
    <w:rsid w:val="00091D71"/>
    <w:rsid w:val="00096938"/>
    <w:rsid w:val="000A05CF"/>
    <w:rsid w:val="000D0C55"/>
    <w:rsid w:val="000D51D0"/>
    <w:rsid w:val="000D7776"/>
    <w:rsid w:val="00100CF5"/>
    <w:rsid w:val="00111B0C"/>
    <w:rsid w:val="00171DB9"/>
    <w:rsid w:val="00172C41"/>
    <w:rsid w:val="00175E46"/>
    <w:rsid w:val="00196935"/>
    <w:rsid w:val="002407F9"/>
    <w:rsid w:val="00266A04"/>
    <w:rsid w:val="00270DF6"/>
    <w:rsid w:val="002A7FB8"/>
    <w:rsid w:val="002C72F4"/>
    <w:rsid w:val="002F7231"/>
    <w:rsid w:val="0030693A"/>
    <w:rsid w:val="00330D9A"/>
    <w:rsid w:val="00337770"/>
    <w:rsid w:val="00361B60"/>
    <w:rsid w:val="00397501"/>
    <w:rsid w:val="003A67E7"/>
    <w:rsid w:val="003B2C9B"/>
    <w:rsid w:val="003C2EF5"/>
    <w:rsid w:val="003C7EF1"/>
    <w:rsid w:val="003E1C60"/>
    <w:rsid w:val="00416677"/>
    <w:rsid w:val="0041785F"/>
    <w:rsid w:val="00425E37"/>
    <w:rsid w:val="004449D0"/>
    <w:rsid w:val="00467048"/>
    <w:rsid w:val="00470D83"/>
    <w:rsid w:val="004847F0"/>
    <w:rsid w:val="004A4B9F"/>
    <w:rsid w:val="004D2C1F"/>
    <w:rsid w:val="004E247A"/>
    <w:rsid w:val="004F202B"/>
    <w:rsid w:val="005237C3"/>
    <w:rsid w:val="00546C9D"/>
    <w:rsid w:val="00593748"/>
    <w:rsid w:val="005C14C2"/>
    <w:rsid w:val="005C52D2"/>
    <w:rsid w:val="005D322F"/>
    <w:rsid w:val="00616E18"/>
    <w:rsid w:val="00654E52"/>
    <w:rsid w:val="00670638"/>
    <w:rsid w:val="00672DC0"/>
    <w:rsid w:val="0068486C"/>
    <w:rsid w:val="006C155B"/>
    <w:rsid w:val="00706441"/>
    <w:rsid w:val="00707ED3"/>
    <w:rsid w:val="00737240"/>
    <w:rsid w:val="007409EA"/>
    <w:rsid w:val="00744366"/>
    <w:rsid w:val="0074440C"/>
    <w:rsid w:val="00744DB9"/>
    <w:rsid w:val="0078188E"/>
    <w:rsid w:val="00796B6A"/>
    <w:rsid w:val="007A2C72"/>
    <w:rsid w:val="007A764C"/>
    <w:rsid w:val="008069D6"/>
    <w:rsid w:val="00817353"/>
    <w:rsid w:val="00820CD1"/>
    <w:rsid w:val="008256E6"/>
    <w:rsid w:val="00835751"/>
    <w:rsid w:val="00841269"/>
    <w:rsid w:val="00853C3D"/>
    <w:rsid w:val="00855FAB"/>
    <w:rsid w:val="00873337"/>
    <w:rsid w:val="008849D6"/>
    <w:rsid w:val="008D43F6"/>
    <w:rsid w:val="008E7189"/>
    <w:rsid w:val="009024EB"/>
    <w:rsid w:val="00905C41"/>
    <w:rsid w:val="009230EE"/>
    <w:rsid w:val="00951533"/>
    <w:rsid w:val="00956E95"/>
    <w:rsid w:val="009802D2"/>
    <w:rsid w:val="009A3372"/>
    <w:rsid w:val="009B2E7D"/>
    <w:rsid w:val="009B3226"/>
    <w:rsid w:val="009C20D8"/>
    <w:rsid w:val="009F1FC6"/>
    <w:rsid w:val="009F745C"/>
    <w:rsid w:val="00A178D2"/>
    <w:rsid w:val="00A2264E"/>
    <w:rsid w:val="00A71B97"/>
    <w:rsid w:val="00A75523"/>
    <w:rsid w:val="00AB32C6"/>
    <w:rsid w:val="00AB6B36"/>
    <w:rsid w:val="00AB757A"/>
    <w:rsid w:val="00AE1D2E"/>
    <w:rsid w:val="00B15C29"/>
    <w:rsid w:val="00B17A2D"/>
    <w:rsid w:val="00B30321"/>
    <w:rsid w:val="00B368A0"/>
    <w:rsid w:val="00B44B11"/>
    <w:rsid w:val="00B46642"/>
    <w:rsid w:val="00B655A2"/>
    <w:rsid w:val="00B80F37"/>
    <w:rsid w:val="00B81DED"/>
    <w:rsid w:val="00BB3717"/>
    <w:rsid w:val="00BD552C"/>
    <w:rsid w:val="00C01871"/>
    <w:rsid w:val="00C67AF8"/>
    <w:rsid w:val="00C9249E"/>
    <w:rsid w:val="00C9787D"/>
    <w:rsid w:val="00CD22DB"/>
    <w:rsid w:val="00CD3B2A"/>
    <w:rsid w:val="00CE5A6C"/>
    <w:rsid w:val="00CF50E5"/>
    <w:rsid w:val="00D143AB"/>
    <w:rsid w:val="00D47487"/>
    <w:rsid w:val="00D474F4"/>
    <w:rsid w:val="00D869B3"/>
    <w:rsid w:val="00DB1C1B"/>
    <w:rsid w:val="00DD51BB"/>
    <w:rsid w:val="00E20A79"/>
    <w:rsid w:val="00E5024F"/>
    <w:rsid w:val="00E67D02"/>
    <w:rsid w:val="00E75BEB"/>
    <w:rsid w:val="00E943B2"/>
    <w:rsid w:val="00EA2E0C"/>
    <w:rsid w:val="00EA79B0"/>
    <w:rsid w:val="00EB0B20"/>
    <w:rsid w:val="00EB5D7C"/>
    <w:rsid w:val="00EF6744"/>
    <w:rsid w:val="00F300D7"/>
    <w:rsid w:val="00F42B18"/>
    <w:rsid w:val="00F8712B"/>
    <w:rsid w:val="00F92AF1"/>
    <w:rsid w:val="00FA42B3"/>
    <w:rsid w:val="00FC69BA"/>
    <w:rsid w:val="00FE182D"/>
    <w:rsid w:val="00FE4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7F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43AB"/>
    <w:pPr>
      <w:jc w:val="both"/>
    </w:pPr>
  </w:style>
  <w:style w:type="character" w:customStyle="1" w:styleId="BodyTextChar">
    <w:name w:val="Body Text Char"/>
    <w:basedOn w:val="DefaultParagraphFont"/>
    <w:link w:val="BodyText"/>
    <w:rsid w:val="00D143AB"/>
    <w:rPr>
      <w:rFonts w:ascii="Times New Roman" w:eastAsia="Times New Roman" w:hAnsi="Times New Roman" w:cs="Times New Roman"/>
      <w:sz w:val="24"/>
      <w:szCs w:val="24"/>
    </w:rPr>
  </w:style>
  <w:style w:type="paragraph" w:customStyle="1" w:styleId="Default">
    <w:name w:val="Default"/>
    <w:rsid w:val="009F1FC6"/>
    <w:pPr>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basedOn w:val="Normal"/>
    <w:uiPriority w:val="34"/>
    <w:qFormat/>
    <w:rsid w:val="00EA2E0C"/>
    <w:pPr>
      <w:ind w:left="720"/>
      <w:contextualSpacing/>
    </w:pPr>
  </w:style>
  <w:style w:type="paragraph" w:customStyle="1" w:styleId="DecimalAligned">
    <w:name w:val="Decimal Aligned"/>
    <w:basedOn w:val="Normal"/>
    <w:uiPriority w:val="40"/>
    <w:qFormat/>
    <w:rsid w:val="00B44B11"/>
    <w:pPr>
      <w:tabs>
        <w:tab w:val="decimal" w:pos="360"/>
      </w:tabs>
      <w:spacing w:after="200" w:line="276" w:lineRule="auto"/>
    </w:pPr>
    <w:rPr>
      <w:rFonts w:asciiTheme="minorHAnsi" w:eastAsiaTheme="minorEastAsia" w:hAnsiTheme="minorHAnsi" w:cstheme="minorBidi"/>
      <w:sz w:val="22"/>
      <w:szCs w:val="22"/>
    </w:rPr>
  </w:style>
  <w:style w:type="paragraph" w:styleId="FootnoteText">
    <w:name w:val="footnote text"/>
    <w:basedOn w:val="Normal"/>
    <w:link w:val="FootnoteTextChar"/>
    <w:uiPriority w:val="99"/>
    <w:unhideWhenUsed/>
    <w:rsid w:val="00B44B11"/>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B44B11"/>
    <w:rPr>
      <w:rFonts w:eastAsiaTheme="minorEastAsia"/>
      <w:sz w:val="20"/>
      <w:szCs w:val="20"/>
    </w:rPr>
  </w:style>
  <w:style w:type="character" w:styleId="SubtleEmphasis">
    <w:name w:val="Subtle Emphasis"/>
    <w:basedOn w:val="DefaultParagraphFont"/>
    <w:uiPriority w:val="19"/>
    <w:qFormat/>
    <w:rsid w:val="00B44B11"/>
    <w:rPr>
      <w:rFonts w:eastAsiaTheme="minorEastAsia" w:cstheme="minorBidi"/>
      <w:bCs w:val="0"/>
      <w:i/>
      <w:iCs/>
      <w:color w:val="808080" w:themeColor="text1" w:themeTint="7F"/>
      <w:szCs w:val="22"/>
      <w:lang w:val="en-US"/>
    </w:rPr>
  </w:style>
  <w:style w:type="table" w:styleId="LightShading-Accent1">
    <w:name w:val="Light Shading Accent 1"/>
    <w:basedOn w:val="TableNormal"/>
    <w:uiPriority w:val="60"/>
    <w:rsid w:val="00B44B11"/>
    <w:pPr>
      <w:spacing w:after="0" w:line="240" w:lineRule="auto"/>
    </w:pPr>
    <w:rPr>
      <w:rFonts w:eastAsiaTheme="minorEastAsia"/>
      <w:color w:val="365F91" w:themeColor="accent1" w:themeShade="BF"/>
      <w:lang w:bidi="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eader">
    <w:name w:val="header"/>
    <w:basedOn w:val="Normal"/>
    <w:link w:val="HeaderChar"/>
    <w:unhideWhenUsed/>
    <w:rsid w:val="0078188E"/>
    <w:pPr>
      <w:tabs>
        <w:tab w:val="center" w:pos="4680"/>
        <w:tab w:val="right" w:pos="9360"/>
      </w:tabs>
    </w:pPr>
  </w:style>
  <w:style w:type="character" w:customStyle="1" w:styleId="HeaderChar">
    <w:name w:val="Header Char"/>
    <w:basedOn w:val="DefaultParagraphFont"/>
    <w:link w:val="Header"/>
    <w:rsid w:val="0078188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8188E"/>
    <w:pPr>
      <w:tabs>
        <w:tab w:val="center" w:pos="4680"/>
        <w:tab w:val="right" w:pos="9360"/>
      </w:tabs>
    </w:pPr>
  </w:style>
  <w:style w:type="character" w:customStyle="1" w:styleId="FooterChar">
    <w:name w:val="Footer Char"/>
    <w:basedOn w:val="DefaultParagraphFont"/>
    <w:link w:val="Footer"/>
    <w:uiPriority w:val="99"/>
    <w:rsid w:val="0078188E"/>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30321"/>
    <w:rPr>
      <w:color w:val="0000FF" w:themeColor="hyperlink"/>
      <w:u w:val="single"/>
    </w:rPr>
  </w:style>
  <w:style w:type="table" w:styleId="TableGrid">
    <w:name w:val="Table Grid"/>
    <w:basedOn w:val="TableNormal"/>
    <w:uiPriority w:val="59"/>
    <w:rsid w:val="00FC69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770064">
      <w:bodyDiv w:val="1"/>
      <w:marLeft w:val="0"/>
      <w:marRight w:val="0"/>
      <w:marTop w:val="0"/>
      <w:marBottom w:val="0"/>
      <w:divBdr>
        <w:top w:val="none" w:sz="0" w:space="0" w:color="auto"/>
        <w:left w:val="none" w:sz="0" w:space="0" w:color="auto"/>
        <w:bottom w:val="none" w:sz="0" w:space="0" w:color="auto"/>
        <w:right w:val="none" w:sz="0" w:space="0" w:color="auto"/>
      </w:divBdr>
    </w:div>
    <w:div w:id="85395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zmasarwar@hotmail.com"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E6411-B32B-4B17-928C-6C277FBDB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6</Pages>
  <Words>2717</Words>
  <Characters>15488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Uzma</dc:creator>
  <cp:lastModifiedBy>Ijaz Hussain</cp:lastModifiedBy>
  <cp:revision>17</cp:revision>
  <dcterms:created xsi:type="dcterms:W3CDTF">2013-02-26T04:39:00Z</dcterms:created>
  <dcterms:modified xsi:type="dcterms:W3CDTF">2013-11-06T08:11:00Z</dcterms:modified>
</cp:coreProperties>
</file>